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5E" w:rsidRPr="00DA4655" w:rsidRDefault="00664B1B" w:rsidP="00504B61">
      <w:pPr>
        <w:spacing w:before="120" w:after="120"/>
        <w:jc w:val="center"/>
      </w:pPr>
      <w:r>
        <w:rPr>
          <w:noProof/>
          <w:lang w:eastAsia="en-AU"/>
        </w:rPr>
        <w:drawing>
          <wp:inline distT="0" distB="0" distL="0" distR="0">
            <wp:extent cx="1864360" cy="672465"/>
            <wp:effectExtent l="19050" t="0" r="2540" b="0"/>
            <wp:docPr id="1" name="Picture 1" descr="ACTGov_EaT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aT_inline"/>
                    <pic:cNvPicPr>
                      <a:picLocks noChangeAspect="1" noChangeArrowheads="1"/>
                    </pic:cNvPicPr>
                  </pic:nvPicPr>
                  <pic:blipFill>
                    <a:blip r:embed="rId8" cstate="print"/>
                    <a:srcRect/>
                    <a:stretch>
                      <a:fillRect/>
                    </a:stretch>
                  </pic:blipFill>
                  <pic:spPr bwMode="auto">
                    <a:xfrm>
                      <a:off x="0" y="0"/>
                      <a:ext cx="1864360" cy="672465"/>
                    </a:xfrm>
                    <a:prstGeom prst="rect">
                      <a:avLst/>
                    </a:prstGeom>
                    <a:noFill/>
                    <a:ln w="9525">
                      <a:noFill/>
                      <a:miter lim="800000"/>
                      <a:headEnd/>
                      <a:tailEnd/>
                    </a:ln>
                  </pic:spPr>
                </pic:pic>
              </a:graphicData>
            </a:graphic>
          </wp:inline>
        </w:drawing>
      </w:r>
    </w:p>
    <w:p w:rsidR="00922F5E" w:rsidRPr="00DA4655" w:rsidRDefault="00922F5E" w:rsidP="00504B61">
      <w:pPr>
        <w:spacing w:before="120" w:after="120"/>
      </w:pPr>
    </w:p>
    <w:p w:rsidR="00504B61" w:rsidRDefault="00504B61" w:rsidP="00504B61">
      <w:pPr>
        <w:spacing w:before="120" w:after="120"/>
      </w:pPr>
    </w:p>
    <w:p w:rsidR="00504B61" w:rsidRDefault="00504B61" w:rsidP="00504B61">
      <w:pPr>
        <w:spacing w:before="120" w:after="120"/>
        <w:jc w:val="center"/>
        <w:rPr>
          <w:b/>
          <w:sz w:val="52"/>
          <w:szCs w:val="52"/>
        </w:rPr>
      </w:pPr>
    </w:p>
    <w:p w:rsidR="00BE103B" w:rsidRPr="00504B61" w:rsidRDefault="00BE103B" w:rsidP="00504B61">
      <w:pPr>
        <w:spacing w:before="120" w:after="120"/>
        <w:jc w:val="center"/>
        <w:rPr>
          <w:b/>
          <w:sz w:val="56"/>
          <w:szCs w:val="56"/>
        </w:rPr>
      </w:pPr>
      <w:r w:rsidRPr="00504B61">
        <w:rPr>
          <w:b/>
          <w:sz w:val="56"/>
          <w:szCs w:val="56"/>
        </w:rPr>
        <w:t>ACT EDUCATION AND TRAINING DIRECTORATE</w:t>
      </w:r>
    </w:p>
    <w:p w:rsidR="00DB27D5" w:rsidRPr="00504B61" w:rsidRDefault="00DB27D5" w:rsidP="00504B61">
      <w:pPr>
        <w:spacing w:before="120" w:after="120"/>
        <w:jc w:val="center"/>
        <w:rPr>
          <w:b/>
          <w:sz w:val="56"/>
          <w:szCs w:val="56"/>
        </w:rPr>
      </w:pPr>
    </w:p>
    <w:p w:rsidR="00647896" w:rsidRPr="00504B61" w:rsidRDefault="00647896" w:rsidP="00504B61">
      <w:pPr>
        <w:spacing w:before="120" w:after="120"/>
        <w:jc w:val="center"/>
        <w:rPr>
          <w:b/>
          <w:sz w:val="56"/>
          <w:szCs w:val="56"/>
          <w:lang w:val="en-US"/>
        </w:rPr>
      </w:pPr>
    </w:p>
    <w:p w:rsidR="00710E67" w:rsidRPr="00504B61" w:rsidRDefault="00710E67" w:rsidP="00504B61">
      <w:pPr>
        <w:spacing w:before="120" w:after="120"/>
        <w:jc w:val="center"/>
        <w:rPr>
          <w:b/>
          <w:sz w:val="56"/>
          <w:szCs w:val="56"/>
        </w:rPr>
      </w:pPr>
      <w:r w:rsidRPr="00504B61">
        <w:rPr>
          <w:b/>
          <w:sz w:val="56"/>
          <w:szCs w:val="56"/>
        </w:rPr>
        <w:t>R</w:t>
      </w:r>
      <w:r w:rsidR="00BE103B" w:rsidRPr="00504B61">
        <w:rPr>
          <w:b/>
          <w:sz w:val="56"/>
          <w:szCs w:val="56"/>
        </w:rPr>
        <w:t>eview of English as an Additional Language or Dialect</w:t>
      </w:r>
      <w:r w:rsidR="00922F5E" w:rsidRPr="00504B61">
        <w:rPr>
          <w:b/>
          <w:sz w:val="56"/>
          <w:szCs w:val="56"/>
        </w:rPr>
        <w:t xml:space="preserve"> </w:t>
      </w:r>
      <w:r w:rsidR="00BE103B" w:rsidRPr="00504B61">
        <w:rPr>
          <w:b/>
          <w:sz w:val="56"/>
          <w:szCs w:val="56"/>
        </w:rPr>
        <w:t>S</w:t>
      </w:r>
      <w:r w:rsidR="00922F5E" w:rsidRPr="00504B61">
        <w:rPr>
          <w:b/>
          <w:sz w:val="56"/>
          <w:szCs w:val="56"/>
        </w:rPr>
        <w:t xml:space="preserve">ervices </w:t>
      </w:r>
      <w:r w:rsidR="00B20F42" w:rsidRPr="00504B61">
        <w:rPr>
          <w:b/>
          <w:sz w:val="56"/>
          <w:szCs w:val="56"/>
        </w:rPr>
        <w:t>in ACT Public Schools</w:t>
      </w:r>
    </w:p>
    <w:p w:rsidR="00504B61" w:rsidRDefault="00504B61" w:rsidP="00504B61">
      <w:pPr>
        <w:spacing w:before="120" w:after="120"/>
        <w:jc w:val="center"/>
        <w:rPr>
          <w:b/>
          <w:sz w:val="44"/>
          <w:szCs w:val="44"/>
        </w:rPr>
      </w:pPr>
    </w:p>
    <w:p w:rsidR="0068237C" w:rsidRDefault="007C4CA0" w:rsidP="00504B61">
      <w:pPr>
        <w:spacing w:before="120" w:after="120"/>
        <w:jc w:val="center"/>
        <w:rPr>
          <w:caps/>
          <w:szCs w:val="24"/>
        </w:rPr>
      </w:pPr>
      <w:r>
        <w:rPr>
          <w:b/>
          <w:sz w:val="44"/>
          <w:szCs w:val="44"/>
        </w:rPr>
        <w:t>April</w:t>
      </w:r>
      <w:r w:rsidR="00710E67" w:rsidRPr="00504B61">
        <w:rPr>
          <w:b/>
          <w:sz w:val="44"/>
          <w:szCs w:val="44"/>
        </w:rPr>
        <w:t xml:space="preserve"> 2012</w:t>
      </w:r>
      <w:r w:rsidR="00922F5E" w:rsidRPr="00504B61">
        <w:rPr>
          <w:b/>
          <w:sz w:val="48"/>
          <w:szCs w:val="48"/>
        </w:rPr>
        <w:br w:type="page"/>
      </w:r>
      <w:r w:rsidR="0068237C" w:rsidRPr="00DA4655">
        <w:rPr>
          <w:caps/>
          <w:szCs w:val="24"/>
        </w:rPr>
        <w:t>Contents</w:t>
      </w:r>
    </w:p>
    <w:p w:rsidR="00504B61" w:rsidRPr="00DA4655" w:rsidRDefault="00504B61" w:rsidP="00504B61">
      <w:pPr>
        <w:spacing w:before="120" w:after="120"/>
        <w:rPr>
          <w:sz w:val="24"/>
          <w:szCs w:val="24"/>
        </w:rPr>
      </w:pPr>
    </w:p>
    <w:p w:rsidR="00344D09" w:rsidRDefault="002A7D49">
      <w:pPr>
        <w:pStyle w:val="TOC1"/>
        <w:tabs>
          <w:tab w:val="right" w:leader="dot" w:pos="9487"/>
        </w:tabs>
        <w:rPr>
          <w:rFonts w:asciiTheme="minorHAnsi" w:eastAsiaTheme="minorEastAsia" w:hAnsiTheme="minorHAnsi" w:cstheme="minorBidi"/>
          <w:b w:val="0"/>
          <w:bCs w:val="0"/>
          <w:noProof/>
          <w:sz w:val="22"/>
          <w:szCs w:val="22"/>
          <w:lang w:eastAsia="en-AU"/>
        </w:rPr>
      </w:pPr>
      <w:r w:rsidRPr="002A7D49">
        <w:fldChar w:fldCharType="begin"/>
      </w:r>
      <w:r w:rsidR="00504B61">
        <w:instrText xml:space="preserve"> TOC \o "1-1" \t "Heading 2,2,Heading 3,3,Heading1,2,Subtitle,2" </w:instrText>
      </w:r>
      <w:r w:rsidRPr="002A7D49">
        <w:fldChar w:fldCharType="separate"/>
      </w:r>
      <w:r w:rsidR="00344D09">
        <w:rPr>
          <w:noProof/>
        </w:rPr>
        <w:t>REVIEW OF EALD SERVICES IN ACT PUBLIC SCHOOLS</w:t>
      </w:r>
      <w:r w:rsidR="00344D09">
        <w:rPr>
          <w:noProof/>
        </w:rPr>
        <w:tab/>
      </w:r>
      <w:r>
        <w:rPr>
          <w:noProof/>
        </w:rPr>
        <w:fldChar w:fldCharType="begin"/>
      </w:r>
      <w:r w:rsidR="00344D09">
        <w:rPr>
          <w:noProof/>
        </w:rPr>
        <w:instrText xml:space="preserve"> PAGEREF _Toc322083098 \h </w:instrText>
      </w:r>
      <w:r>
        <w:rPr>
          <w:noProof/>
        </w:rPr>
      </w:r>
      <w:r>
        <w:rPr>
          <w:noProof/>
        </w:rPr>
        <w:fldChar w:fldCharType="separate"/>
      </w:r>
      <w:r w:rsidR="00617565">
        <w:rPr>
          <w:noProof/>
        </w:rPr>
        <w:t>4</w:t>
      </w:r>
      <w:r>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sidRPr="00270573">
        <w:rPr>
          <w:rFonts w:eastAsia="Times New Roman"/>
          <w:noProof/>
        </w:rPr>
        <w:t xml:space="preserve">1. </w:t>
      </w:r>
      <w:r>
        <w:rPr>
          <w:noProof/>
        </w:rPr>
        <w:t>BACKGROUND</w:t>
      </w:r>
      <w:r>
        <w:rPr>
          <w:noProof/>
        </w:rPr>
        <w:tab/>
      </w:r>
      <w:r w:rsidR="002A7D49">
        <w:rPr>
          <w:noProof/>
        </w:rPr>
        <w:fldChar w:fldCharType="begin"/>
      </w:r>
      <w:r>
        <w:rPr>
          <w:noProof/>
        </w:rPr>
        <w:instrText xml:space="preserve"> PAGEREF _Toc322083099 \h </w:instrText>
      </w:r>
      <w:r w:rsidR="002A7D49">
        <w:rPr>
          <w:noProof/>
        </w:rPr>
      </w:r>
      <w:r w:rsidR="002A7D49">
        <w:rPr>
          <w:noProof/>
        </w:rPr>
        <w:fldChar w:fldCharType="separate"/>
      </w:r>
      <w:r w:rsidR="00617565">
        <w:rPr>
          <w:noProof/>
        </w:rPr>
        <w:t>4</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1.1 Legislative Assembly Motion</w:t>
      </w:r>
      <w:r>
        <w:rPr>
          <w:noProof/>
        </w:rPr>
        <w:tab/>
      </w:r>
      <w:r w:rsidR="002A7D49">
        <w:rPr>
          <w:noProof/>
        </w:rPr>
        <w:fldChar w:fldCharType="begin"/>
      </w:r>
      <w:r>
        <w:rPr>
          <w:noProof/>
        </w:rPr>
        <w:instrText xml:space="preserve"> PAGEREF _Toc322083100 \h </w:instrText>
      </w:r>
      <w:r w:rsidR="002A7D49">
        <w:rPr>
          <w:noProof/>
        </w:rPr>
      </w:r>
      <w:r w:rsidR="002A7D49">
        <w:rPr>
          <w:noProof/>
        </w:rPr>
        <w:fldChar w:fldCharType="separate"/>
      </w:r>
      <w:r w:rsidR="00617565">
        <w:rPr>
          <w:noProof/>
        </w:rPr>
        <w:t>4</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sidRPr="00270573">
        <w:rPr>
          <w:rFonts w:eastAsia="Times New Roman"/>
          <w:noProof/>
        </w:rPr>
        <w:t xml:space="preserve">2. </w:t>
      </w:r>
      <w:r>
        <w:rPr>
          <w:noProof/>
        </w:rPr>
        <w:t>SUPPORT FOR EALD STUDENTS IN ACT PUBLIC SCHOOLS</w:t>
      </w:r>
      <w:r>
        <w:rPr>
          <w:noProof/>
        </w:rPr>
        <w:tab/>
      </w:r>
      <w:r w:rsidR="002A7D49">
        <w:rPr>
          <w:noProof/>
        </w:rPr>
        <w:fldChar w:fldCharType="begin"/>
      </w:r>
      <w:r>
        <w:rPr>
          <w:noProof/>
        </w:rPr>
        <w:instrText xml:space="preserve"> PAGEREF _Toc322083101 \h </w:instrText>
      </w:r>
      <w:r w:rsidR="002A7D49">
        <w:rPr>
          <w:noProof/>
        </w:rPr>
      </w:r>
      <w:r w:rsidR="002A7D49">
        <w:rPr>
          <w:noProof/>
        </w:rPr>
        <w:fldChar w:fldCharType="separate"/>
      </w:r>
      <w:r w:rsidR="00617565">
        <w:rPr>
          <w:noProof/>
        </w:rPr>
        <w:t>7</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2.1 The ACT Literacy and Numeracy Strategy</w:t>
      </w:r>
      <w:r>
        <w:rPr>
          <w:noProof/>
        </w:rPr>
        <w:tab/>
      </w:r>
      <w:r w:rsidR="002A7D49">
        <w:rPr>
          <w:noProof/>
        </w:rPr>
        <w:fldChar w:fldCharType="begin"/>
      </w:r>
      <w:r>
        <w:rPr>
          <w:noProof/>
        </w:rPr>
        <w:instrText xml:space="preserve"> PAGEREF _Toc322083102 \h </w:instrText>
      </w:r>
      <w:r w:rsidR="002A7D49">
        <w:rPr>
          <w:noProof/>
        </w:rPr>
      </w:r>
      <w:r w:rsidR="002A7D49">
        <w:rPr>
          <w:noProof/>
        </w:rPr>
        <w:fldChar w:fldCharType="separate"/>
      </w:r>
      <w:r w:rsidR="00617565">
        <w:rPr>
          <w:noProof/>
        </w:rPr>
        <w:t>7</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sidRPr="00270573">
        <w:rPr>
          <w:rFonts w:eastAsia="Times New Roman"/>
          <w:noProof/>
        </w:rPr>
        <w:t xml:space="preserve">2.2 </w:t>
      </w:r>
      <w:r>
        <w:rPr>
          <w:noProof/>
        </w:rPr>
        <w:t>EALD Plan, Policy and Procedures</w:t>
      </w:r>
      <w:r>
        <w:rPr>
          <w:noProof/>
        </w:rPr>
        <w:tab/>
      </w:r>
      <w:r w:rsidR="002A7D49">
        <w:rPr>
          <w:noProof/>
        </w:rPr>
        <w:fldChar w:fldCharType="begin"/>
      </w:r>
      <w:r>
        <w:rPr>
          <w:noProof/>
        </w:rPr>
        <w:instrText xml:space="preserve"> PAGEREF _Toc322083103 \h </w:instrText>
      </w:r>
      <w:r w:rsidR="002A7D49">
        <w:rPr>
          <w:noProof/>
        </w:rPr>
      </w:r>
      <w:r w:rsidR="002A7D49">
        <w:rPr>
          <w:noProof/>
        </w:rPr>
        <w:fldChar w:fldCharType="separate"/>
      </w:r>
      <w:r w:rsidR="00617565">
        <w:rPr>
          <w:noProof/>
        </w:rPr>
        <w:t>8</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2.3 Targeted Support for EALD Students</w:t>
      </w:r>
      <w:r>
        <w:rPr>
          <w:noProof/>
        </w:rPr>
        <w:tab/>
      </w:r>
      <w:r w:rsidR="002A7D49">
        <w:rPr>
          <w:noProof/>
        </w:rPr>
        <w:fldChar w:fldCharType="begin"/>
      </w:r>
      <w:r>
        <w:rPr>
          <w:noProof/>
        </w:rPr>
        <w:instrText xml:space="preserve"> PAGEREF _Toc322083104 \h </w:instrText>
      </w:r>
      <w:r w:rsidR="002A7D49">
        <w:rPr>
          <w:noProof/>
        </w:rPr>
      </w:r>
      <w:r w:rsidR="002A7D49">
        <w:rPr>
          <w:noProof/>
        </w:rPr>
        <w:fldChar w:fldCharType="separate"/>
      </w:r>
      <w:r w:rsidR="00617565">
        <w:rPr>
          <w:noProof/>
        </w:rPr>
        <w:t>8</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2.4 Teacher Professional Learning</w:t>
      </w:r>
      <w:r>
        <w:rPr>
          <w:noProof/>
        </w:rPr>
        <w:tab/>
      </w:r>
      <w:r w:rsidR="002A7D49">
        <w:rPr>
          <w:noProof/>
        </w:rPr>
        <w:fldChar w:fldCharType="begin"/>
      </w:r>
      <w:r>
        <w:rPr>
          <w:noProof/>
        </w:rPr>
        <w:instrText xml:space="preserve"> PAGEREF _Toc322083105 \h </w:instrText>
      </w:r>
      <w:r w:rsidR="002A7D49">
        <w:rPr>
          <w:noProof/>
        </w:rPr>
      </w:r>
      <w:r w:rsidR="002A7D49">
        <w:rPr>
          <w:noProof/>
        </w:rPr>
        <w:fldChar w:fldCharType="separate"/>
      </w:r>
      <w:r w:rsidR="00617565">
        <w:rPr>
          <w:noProof/>
        </w:rPr>
        <w:t>9</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2.5 Translator Services for Parents/Carers</w:t>
      </w:r>
      <w:r>
        <w:rPr>
          <w:noProof/>
        </w:rPr>
        <w:tab/>
      </w:r>
      <w:r w:rsidR="002A7D49">
        <w:rPr>
          <w:noProof/>
        </w:rPr>
        <w:fldChar w:fldCharType="begin"/>
      </w:r>
      <w:r>
        <w:rPr>
          <w:noProof/>
        </w:rPr>
        <w:instrText xml:space="preserve"> PAGEREF _Toc322083106 \h </w:instrText>
      </w:r>
      <w:r w:rsidR="002A7D49">
        <w:rPr>
          <w:noProof/>
        </w:rPr>
      </w:r>
      <w:r w:rsidR="002A7D49">
        <w:rPr>
          <w:noProof/>
        </w:rPr>
        <w:fldChar w:fldCharType="separate"/>
      </w:r>
      <w:r w:rsidR="00617565">
        <w:rPr>
          <w:noProof/>
        </w:rPr>
        <w:t>10</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2.6 Stakeholder Consultation</w:t>
      </w:r>
      <w:r>
        <w:rPr>
          <w:noProof/>
        </w:rPr>
        <w:tab/>
      </w:r>
      <w:r w:rsidR="002A7D49">
        <w:rPr>
          <w:noProof/>
        </w:rPr>
        <w:fldChar w:fldCharType="begin"/>
      </w:r>
      <w:r>
        <w:rPr>
          <w:noProof/>
        </w:rPr>
        <w:instrText xml:space="preserve"> PAGEREF _Toc322083107 \h </w:instrText>
      </w:r>
      <w:r w:rsidR="002A7D49">
        <w:rPr>
          <w:noProof/>
        </w:rPr>
      </w:r>
      <w:r w:rsidR="002A7D49">
        <w:rPr>
          <w:noProof/>
        </w:rPr>
        <w:fldChar w:fldCharType="separate"/>
      </w:r>
      <w:r w:rsidR="00617565">
        <w:rPr>
          <w:noProof/>
        </w:rPr>
        <w:t>10</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2.7 Findings</w:t>
      </w:r>
      <w:r>
        <w:rPr>
          <w:noProof/>
        </w:rPr>
        <w:tab/>
      </w:r>
      <w:r w:rsidR="002A7D49">
        <w:rPr>
          <w:noProof/>
        </w:rPr>
        <w:fldChar w:fldCharType="begin"/>
      </w:r>
      <w:r>
        <w:rPr>
          <w:noProof/>
        </w:rPr>
        <w:instrText xml:space="preserve"> PAGEREF _Toc322083108 \h </w:instrText>
      </w:r>
      <w:r w:rsidR="002A7D49">
        <w:rPr>
          <w:noProof/>
        </w:rPr>
      </w:r>
      <w:r w:rsidR="002A7D49">
        <w:rPr>
          <w:noProof/>
        </w:rPr>
        <w:fldChar w:fldCharType="separate"/>
      </w:r>
      <w:r w:rsidR="00617565">
        <w:rPr>
          <w:noProof/>
        </w:rPr>
        <w:t>11</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3. IDENTIFICATION OF EALD STUDENTS</w:t>
      </w:r>
      <w:r>
        <w:rPr>
          <w:noProof/>
        </w:rPr>
        <w:tab/>
      </w:r>
      <w:r w:rsidR="002A7D49">
        <w:rPr>
          <w:noProof/>
        </w:rPr>
        <w:fldChar w:fldCharType="begin"/>
      </w:r>
      <w:r>
        <w:rPr>
          <w:noProof/>
        </w:rPr>
        <w:instrText xml:space="preserve"> PAGEREF _Toc322083109 \h </w:instrText>
      </w:r>
      <w:r w:rsidR="002A7D49">
        <w:rPr>
          <w:noProof/>
        </w:rPr>
      </w:r>
      <w:r w:rsidR="002A7D49">
        <w:rPr>
          <w:noProof/>
        </w:rPr>
        <w:fldChar w:fldCharType="separate"/>
      </w:r>
      <w:r w:rsidR="00617565">
        <w:rPr>
          <w:noProof/>
        </w:rPr>
        <w:t>12</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3.1 Language Performance Ratings (LPR)</w:t>
      </w:r>
      <w:r>
        <w:rPr>
          <w:noProof/>
        </w:rPr>
        <w:tab/>
      </w:r>
      <w:r w:rsidR="002A7D49">
        <w:rPr>
          <w:noProof/>
        </w:rPr>
        <w:fldChar w:fldCharType="begin"/>
      </w:r>
      <w:r>
        <w:rPr>
          <w:noProof/>
        </w:rPr>
        <w:instrText xml:space="preserve"> PAGEREF _Toc322083110 \h </w:instrText>
      </w:r>
      <w:r w:rsidR="002A7D49">
        <w:rPr>
          <w:noProof/>
        </w:rPr>
      </w:r>
      <w:r w:rsidR="002A7D49">
        <w:rPr>
          <w:noProof/>
        </w:rPr>
        <w:fldChar w:fldCharType="separate"/>
      </w:r>
      <w:r w:rsidR="00617565">
        <w:rPr>
          <w:noProof/>
        </w:rPr>
        <w:t>12</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3.2 Distribution of EALD Students against LPR</w:t>
      </w:r>
      <w:r>
        <w:rPr>
          <w:noProof/>
        </w:rPr>
        <w:tab/>
      </w:r>
      <w:r w:rsidR="002A7D49">
        <w:rPr>
          <w:noProof/>
        </w:rPr>
        <w:fldChar w:fldCharType="begin"/>
      </w:r>
      <w:r>
        <w:rPr>
          <w:noProof/>
        </w:rPr>
        <w:instrText xml:space="preserve"> PAGEREF _Toc322083111 \h </w:instrText>
      </w:r>
      <w:r w:rsidR="002A7D49">
        <w:rPr>
          <w:noProof/>
        </w:rPr>
      </w:r>
      <w:r w:rsidR="002A7D49">
        <w:rPr>
          <w:noProof/>
        </w:rPr>
        <w:fldChar w:fldCharType="separate"/>
      </w:r>
      <w:r w:rsidR="00617565">
        <w:rPr>
          <w:noProof/>
        </w:rPr>
        <w:t>13</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3.3 System EALD Enrolments</w:t>
      </w:r>
      <w:r>
        <w:rPr>
          <w:noProof/>
        </w:rPr>
        <w:tab/>
      </w:r>
      <w:r w:rsidR="002A7D49">
        <w:rPr>
          <w:noProof/>
        </w:rPr>
        <w:fldChar w:fldCharType="begin"/>
      </w:r>
      <w:r>
        <w:rPr>
          <w:noProof/>
        </w:rPr>
        <w:instrText xml:space="preserve"> PAGEREF _Toc322083112 \h </w:instrText>
      </w:r>
      <w:r w:rsidR="002A7D49">
        <w:rPr>
          <w:noProof/>
        </w:rPr>
      </w:r>
      <w:r w:rsidR="002A7D49">
        <w:rPr>
          <w:noProof/>
        </w:rPr>
        <w:fldChar w:fldCharType="separate"/>
      </w:r>
      <w:r w:rsidR="00617565">
        <w:rPr>
          <w:noProof/>
        </w:rPr>
        <w:t>14</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3.4 IEC Enrolments</w:t>
      </w:r>
      <w:r>
        <w:rPr>
          <w:noProof/>
        </w:rPr>
        <w:tab/>
      </w:r>
      <w:r w:rsidR="002A7D49">
        <w:rPr>
          <w:noProof/>
        </w:rPr>
        <w:fldChar w:fldCharType="begin"/>
      </w:r>
      <w:r>
        <w:rPr>
          <w:noProof/>
        </w:rPr>
        <w:instrText xml:space="preserve"> PAGEREF _Toc322083113 \h </w:instrText>
      </w:r>
      <w:r w:rsidR="002A7D49">
        <w:rPr>
          <w:noProof/>
        </w:rPr>
      </w:r>
      <w:r w:rsidR="002A7D49">
        <w:rPr>
          <w:noProof/>
        </w:rPr>
        <w:fldChar w:fldCharType="separate"/>
      </w:r>
      <w:r w:rsidR="00617565">
        <w:rPr>
          <w:noProof/>
        </w:rPr>
        <w:t>14</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3.5 Stakeholder Consultation</w:t>
      </w:r>
      <w:r>
        <w:rPr>
          <w:noProof/>
        </w:rPr>
        <w:tab/>
      </w:r>
      <w:r w:rsidR="002A7D49">
        <w:rPr>
          <w:noProof/>
        </w:rPr>
        <w:fldChar w:fldCharType="begin"/>
      </w:r>
      <w:r>
        <w:rPr>
          <w:noProof/>
        </w:rPr>
        <w:instrText xml:space="preserve"> PAGEREF _Toc322083114 \h </w:instrText>
      </w:r>
      <w:r w:rsidR="002A7D49">
        <w:rPr>
          <w:noProof/>
        </w:rPr>
      </w:r>
      <w:r w:rsidR="002A7D49">
        <w:rPr>
          <w:noProof/>
        </w:rPr>
        <w:fldChar w:fldCharType="separate"/>
      </w:r>
      <w:r w:rsidR="00617565">
        <w:rPr>
          <w:noProof/>
        </w:rPr>
        <w:t>15</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3.6 Findings</w:t>
      </w:r>
      <w:r>
        <w:rPr>
          <w:noProof/>
        </w:rPr>
        <w:tab/>
      </w:r>
      <w:r w:rsidR="002A7D49">
        <w:rPr>
          <w:noProof/>
        </w:rPr>
        <w:fldChar w:fldCharType="begin"/>
      </w:r>
      <w:r>
        <w:rPr>
          <w:noProof/>
        </w:rPr>
        <w:instrText xml:space="preserve"> PAGEREF _Toc322083115 \h </w:instrText>
      </w:r>
      <w:r w:rsidR="002A7D49">
        <w:rPr>
          <w:noProof/>
        </w:rPr>
      </w:r>
      <w:r w:rsidR="002A7D49">
        <w:rPr>
          <w:noProof/>
        </w:rPr>
        <w:fldChar w:fldCharType="separate"/>
      </w:r>
      <w:r w:rsidR="00617565">
        <w:rPr>
          <w:noProof/>
        </w:rPr>
        <w:t>15</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4. RESOURCING OF EALD STUDENTS IN ACT PUBLIC SCHOOLS</w:t>
      </w:r>
      <w:r>
        <w:rPr>
          <w:noProof/>
        </w:rPr>
        <w:tab/>
      </w:r>
      <w:r w:rsidR="002A7D49">
        <w:rPr>
          <w:noProof/>
        </w:rPr>
        <w:fldChar w:fldCharType="begin"/>
      </w:r>
      <w:r>
        <w:rPr>
          <w:noProof/>
        </w:rPr>
        <w:instrText xml:space="preserve"> PAGEREF _Toc322083116 \h </w:instrText>
      </w:r>
      <w:r w:rsidR="002A7D49">
        <w:rPr>
          <w:noProof/>
        </w:rPr>
      </w:r>
      <w:r w:rsidR="002A7D49">
        <w:rPr>
          <w:noProof/>
        </w:rPr>
        <w:fldChar w:fldCharType="separate"/>
      </w:r>
      <w:r w:rsidR="00617565">
        <w:rPr>
          <w:noProof/>
        </w:rPr>
        <w:t>16</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4.1 Finances</w:t>
      </w:r>
      <w:r>
        <w:rPr>
          <w:noProof/>
        </w:rPr>
        <w:tab/>
      </w:r>
      <w:r w:rsidR="002A7D49">
        <w:rPr>
          <w:noProof/>
        </w:rPr>
        <w:fldChar w:fldCharType="begin"/>
      </w:r>
      <w:r>
        <w:rPr>
          <w:noProof/>
        </w:rPr>
        <w:instrText xml:space="preserve"> PAGEREF _Toc322083117 \h </w:instrText>
      </w:r>
      <w:r w:rsidR="002A7D49">
        <w:rPr>
          <w:noProof/>
        </w:rPr>
      </w:r>
      <w:r w:rsidR="002A7D49">
        <w:rPr>
          <w:noProof/>
        </w:rPr>
        <w:fldChar w:fldCharType="separate"/>
      </w:r>
      <w:r w:rsidR="00617565">
        <w:rPr>
          <w:noProof/>
        </w:rPr>
        <w:t>16</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4.2 Staffing Allocations - IECs</w:t>
      </w:r>
      <w:r>
        <w:rPr>
          <w:noProof/>
        </w:rPr>
        <w:tab/>
      </w:r>
      <w:r w:rsidR="002A7D49">
        <w:rPr>
          <w:noProof/>
        </w:rPr>
        <w:fldChar w:fldCharType="begin"/>
      </w:r>
      <w:r>
        <w:rPr>
          <w:noProof/>
        </w:rPr>
        <w:instrText xml:space="preserve"> PAGEREF _Toc322083118 \h </w:instrText>
      </w:r>
      <w:r w:rsidR="002A7D49">
        <w:rPr>
          <w:noProof/>
        </w:rPr>
      </w:r>
      <w:r w:rsidR="002A7D49">
        <w:rPr>
          <w:noProof/>
        </w:rPr>
        <w:fldChar w:fldCharType="separate"/>
      </w:r>
      <w:r w:rsidR="00617565">
        <w:rPr>
          <w:noProof/>
        </w:rPr>
        <w:t>16</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4.3 Staffing Allocations – Mainstream Settings</w:t>
      </w:r>
      <w:r>
        <w:rPr>
          <w:noProof/>
        </w:rPr>
        <w:tab/>
      </w:r>
      <w:r w:rsidR="002A7D49">
        <w:rPr>
          <w:noProof/>
        </w:rPr>
        <w:fldChar w:fldCharType="begin"/>
      </w:r>
      <w:r>
        <w:rPr>
          <w:noProof/>
        </w:rPr>
        <w:instrText xml:space="preserve"> PAGEREF _Toc322083119 \h </w:instrText>
      </w:r>
      <w:r w:rsidR="002A7D49">
        <w:rPr>
          <w:noProof/>
        </w:rPr>
      </w:r>
      <w:r w:rsidR="002A7D49">
        <w:rPr>
          <w:noProof/>
        </w:rPr>
        <w:fldChar w:fldCharType="separate"/>
      </w:r>
      <w:r w:rsidR="00617565">
        <w:rPr>
          <w:noProof/>
        </w:rPr>
        <w:t>17</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4.4 Staffing Positions Central Office</w:t>
      </w:r>
      <w:r>
        <w:rPr>
          <w:noProof/>
        </w:rPr>
        <w:tab/>
      </w:r>
      <w:r w:rsidR="002A7D49">
        <w:rPr>
          <w:noProof/>
        </w:rPr>
        <w:fldChar w:fldCharType="begin"/>
      </w:r>
      <w:r>
        <w:rPr>
          <w:noProof/>
        </w:rPr>
        <w:instrText xml:space="preserve"> PAGEREF _Toc322083120 \h </w:instrText>
      </w:r>
      <w:r w:rsidR="002A7D49">
        <w:rPr>
          <w:noProof/>
        </w:rPr>
      </w:r>
      <w:r w:rsidR="002A7D49">
        <w:rPr>
          <w:noProof/>
        </w:rPr>
        <w:fldChar w:fldCharType="separate"/>
      </w:r>
      <w:r w:rsidR="00617565">
        <w:rPr>
          <w:noProof/>
        </w:rPr>
        <w:t>18</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4.5 Stakeholder Consultation</w:t>
      </w:r>
      <w:r>
        <w:rPr>
          <w:noProof/>
        </w:rPr>
        <w:tab/>
      </w:r>
      <w:r w:rsidR="002A7D49">
        <w:rPr>
          <w:noProof/>
        </w:rPr>
        <w:fldChar w:fldCharType="begin"/>
      </w:r>
      <w:r>
        <w:rPr>
          <w:noProof/>
        </w:rPr>
        <w:instrText xml:space="preserve"> PAGEREF _Toc322083121 \h </w:instrText>
      </w:r>
      <w:r w:rsidR="002A7D49">
        <w:rPr>
          <w:noProof/>
        </w:rPr>
      </w:r>
      <w:r w:rsidR="002A7D49">
        <w:rPr>
          <w:noProof/>
        </w:rPr>
        <w:fldChar w:fldCharType="separate"/>
      </w:r>
      <w:r w:rsidR="00617565">
        <w:rPr>
          <w:noProof/>
        </w:rPr>
        <w:t>18</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4.6 Findings</w:t>
      </w:r>
      <w:r>
        <w:rPr>
          <w:noProof/>
        </w:rPr>
        <w:tab/>
      </w:r>
      <w:r w:rsidR="002A7D49">
        <w:rPr>
          <w:noProof/>
        </w:rPr>
        <w:fldChar w:fldCharType="begin"/>
      </w:r>
      <w:r>
        <w:rPr>
          <w:noProof/>
        </w:rPr>
        <w:instrText xml:space="preserve"> PAGEREF _Toc322083122 \h </w:instrText>
      </w:r>
      <w:r w:rsidR="002A7D49">
        <w:rPr>
          <w:noProof/>
        </w:rPr>
      </w:r>
      <w:r w:rsidR="002A7D49">
        <w:rPr>
          <w:noProof/>
        </w:rPr>
        <w:fldChar w:fldCharType="separate"/>
      </w:r>
      <w:r w:rsidR="00617565">
        <w:rPr>
          <w:noProof/>
        </w:rPr>
        <w:t>18</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5. CONCLUSION</w:t>
      </w:r>
      <w:r>
        <w:rPr>
          <w:noProof/>
        </w:rPr>
        <w:tab/>
      </w:r>
      <w:r w:rsidR="002A7D49">
        <w:rPr>
          <w:noProof/>
        </w:rPr>
        <w:fldChar w:fldCharType="begin"/>
      </w:r>
      <w:r>
        <w:rPr>
          <w:noProof/>
        </w:rPr>
        <w:instrText xml:space="preserve"> PAGEREF _Toc322083123 \h </w:instrText>
      </w:r>
      <w:r w:rsidR="002A7D49">
        <w:rPr>
          <w:noProof/>
        </w:rPr>
      </w:r>
      <w:r w:rsidR="002A7D49">
        <w:rPr>
          <w:noProof/>
        </w:rPr>
        <w:fldChar w:fldCharType="separate"/>
      </w:r>
      <w:r w:rsidR="00617565">
        <w:rPr>
          <w:noProof/>
        </w:rPr>
        <w:t>19</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5.1 Review Findings</w:t>
      </w:r>
      <w:r>
        <w:rPr>
          <w:noProof/>
        </w:rPr>
        <w:tab/>
      </w:r>
      <w:r w:rsidR="002A7D49">
        <w:rPr>
          <w:noProof/>
        </w:rPr>
        <w:fldChar w:fldCharType="begin"/>
      </w:r>
      <w:r>
        <w:rPr>
          <w:noProof/>
        </w:rPr>
        <w:instrText xml:space="preserve"> PAGEREF _Toc322083124 \h </w:instrText>
      </w:r>
      <w:r w:rsidR="002A7D49">
        <w:rPr>
          <w:noProof/>
        </w:rPr>
      </w:r>
      <w:r w:rsidR="002A7D49">
        <w:rPr>
          <w:noProof/>
        </w:rPr>
        <w:fldChar w:fldCharType="separate"/>
      </w:r>
      <w:r w:rsidR="00617565">
        <w:rPr>
          <w:noProof/>
        </w:rPr>
        <w:t>19</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6. REFERENCES</w:t>
      </w:r>
      <w:r>
        <w:rPr>
          <w:noProof/>
        </w:rPr>
        <w:tab/>
      </w:r>
      <w:r w:rsidR="002A7D49">
        <w:rPr>
          <w:noProof/>
        </w:rPr>
        <w:fldChar w:fldCharType="begin"/>
      </w:r>
      <w:r>
        <w:rPr>
          <w:noProof/>
        </w:rPr>
        <w:instrText xml:space="preserve"> PAGEREF _Toc322083125 \h </w:instrText>
      </w:r>
      <w:r w:rsidR="002A7D49">
        <w:rPr>
          <w:noProof/>
        </w:rPr>
      </w:r>
      <w:r w:rsidR="002A7D49">
        <w:rPr>
          <w:noProof/>
        </w:rPr>
        <w:fldChar w:fldCharType="separate"/>
      </w:r>
      <w:r w:rsidR="00617565">
        <w:rPr>
          <w:noProof/>
        </w:rPr>
        <w:t>20</w:t>
      </w:r>
      <w:r w:rsidR="002A7D49">
        <w:rPr>
          <w:noProof/>
        </w:rPr>
        <w:fldChar w:fldCharType="end"/>
      </w:r>
    </w:p>
    <w:p w:rsidR="00344D09" w:rsidRDefault="00344D09">
      <w:pPr>
        <w:pStyle w:val="TOC2"/>
        <w:tabs>
          <w:tab w:val="right" w:leader="dot" w:pos="9487"/>
        </w:tabs>
        <w:rPr>
          <w:rFonts w:asciiTheme="minorHAnsi" w:eastAsiaTheme="minorEastAsia" w:hAnsiTheme="minorHAnsi" w:cstheme="minorBidi"/>
          <w:i w:val="0"/>
          <w:iCs w:val="0"/>
          <w:noProof/>
          <w:sz w:val="22"/>
          <w:szCs w:val="22"/>
          <w:lang w:eastAsia="en-AU"/>
        </w:rPr>
      </w:pPr>
      <w:r>
        <w:rPr>
          <w:noProof/>
        </w:rPr>
        <w:t>7. APPENDICES</w:t>
      </w:r>
      <w:r>
        <w:rPr>
          <w:noProof/>
        </w:rPr>
        <w:tab/>
      </w:r>
      <w:r w:rsidR="002A7D49">
        <w:rPr>
          <w:noProof/>
        </w:rPr>
        <w:fldChar w:fldCharType="begin"/>
      </w:r>
      <w:r>
        <w:rPr>
          <w:noProof/>
        </w:rPr>
        <w:instrText xml:space="preserve"> PAGEREF _Toc322083126 \h </w:instrText>
      </w:r>
      <w:r w:rsidR="002A7D49">
        <w:rPr>
          <w:noProof/>
        </w:rPr>
      </w:r>
      <w:r w:rsidR="002A7D49">
        <w:rPr>
          <w:noProof/>
        </w:rPr>
        <w:fldChar w:fldCharType="separate"/>
      </w:r>
      <w:r w:rsidR="00617565">
        <w:rPr>
          <w:noProof/>
        </w:rPr>
        <w:t>21</w:t>
      </w:r>
      <w:r w:rsidR="002A7D49">
        <w:rPr>
          <w:noProof/>
        </w:rPr>
        <w:fldChar w:fldCharType="end"/>
      </w:r>
    </w:p>
    <w:p w:rsidR="00344D09" w:rsidRDefault="00344D09">
      <w:pPr>
        <w:pStyle w:val="TOC2"/>
        <w:tabs>
          <w:tab w:val="left" w:pos="1540"/>
          <w:tab w:val="right" w:leader="dot" w:pos="9487"/>
        </w:tabs>
        <w:rPr>
          <w:rFonts w:asciiTheme="minorHAnsi" w:eastAsiaTheme="minorEastAsia" w:hAnsiTheme="minorHAnsi" w:cstheme="minorBidi"/>
          <w:i w:val="0"/>
          <w:iCs w:val="0"/>
          <w:noProof/>
          <w:sz w:val="22"/>
          <w:szCs w:val="22"/>
          <w:lang w:eastAsia="en-AU"/>
        </w:rPr>
      </w:pPr>
      <w:r>
        <w:rPr>
          <w:noProof/>
        </w:rPr>
        <w:t>Appendix 1</w:t>
      </w:r>
      <w:r>
        <w:rPr>
          <w:rFonts w:asciiTheme="minorHAnsi" w:eastAsiaTheme="minorEastAsia" w:hAnsiTheme="minorHAnsi" w:cstheme="minorBidi"/>
          <w:i w:val="0"/>
          <w:iCs w:val="0"/>
          <w:noProof/>
          <w:sz w:val="22"/>
          <w:szCs w:val="22"/>
          <w:lang w:eastAsia="en-AU"/>
        </w:rPr>
        <w:tab/>
      </w:r>
      <w:r>
        <w:rPr>
          <w:noProof/>
        </w:rPr>
        <w:t>EALD in Other Jurisdictions - Summary of Services</w:t>
      </w:r>
      <w:r>
        <w:rPr>
          <w:noProof/>
        </w:rPr>
        <w:tab/>
      </w:r>
      <w:r w:rsidR="002A7D49">
        <w:rPr>
          <w:noProof/>
        </w:rPr>
        <w:fldChar w:fldCharType="begin"/>
      </w:r>
      <w:r>
        <w:rPr>
          <w:noProof/>
        </w:rPr>
        <w:instrText xml:space="preserve"> PAGEREF _Toc322083127 \h </w:instrText>
      </w:r>
      <w:r w:rsidR="002A7D49">
        <w:rPr>
          <w:noProof/>
        </w:rPr>
      </w:r>
      <w:r w:rsidR="002A7D49">
        <w:rPr>
          <w:noProof/>
        </w:rPr>
        <w:fldChar w:fldCharType="separate"/>
      </w:r>
      <w:r w:rsidR="00617565">
        <w:rPr>
          <w:noProof/>
        </w:rPr>
        <w:t>22</w:t>
      </w:r>
      <w:r w:rsidR="002A7D49">
        <w:rPr>
          <w:noProof/>
        </w:rPr>
        <w:fldChar w:fldCharType="end"/>
      </w:r>
    </w:p>
    <w:p w:rsidR="00344D09" w:rsidRDefault="00344D09">
      <w:pPr>
        <w:pStyle w:val="TOC2"/>
        <w:tabs>
          <w:tab w:val="left" w:pos="1540"/>
          <w:tab w:val="right" w:leader="dot" w:pos="9487"/>
        </w:tabs>
        <w:rPr>
          <w:rFonts w:asciiTheme="minorHAnsi" w:eastAsiaTheme="minorEastAsia" w:hAnsiTheme="minorHAnsi" w:cstheme="minorBidi"/>
          <w:i w:val="0"/>
          <w:iCs w:val="0"/>
          <w:noProof/>
          <w:sz w:val="22"/>
          <w:szCs w:val="22"/>
          <w:lang w:eastAsia="en-AU"/>
        </w:rPr>
      </w:pPr>
      <w:r>
        <w:rPr>
          <w:noProof/>
        </w:rPr>
        <w:t>Appendix 2</w:t>
      </w:r>
      <w:r>
        <w:rPr>
          <w:rFonts w:asciiTheme="minorHAnsi" w:eastAsiaTheme="minorEastAsia" w:hAnsiTheme="minorHAnsi" w:cstheme="minorBidi"/>
          <w:i w:val="0"/>
          <w:iCs w:val="0"/>
          <w:noProof/>
          <w:sz w:val="22"/>
          <w:szCs w:val="22"/>
          <w:lang w:eastAsia="en-AU"/>
        </w:rPr>
        <w:tab/>
      </w:r>
      <w:r>
        <w:rPr>
          <w:noProof/>
        </w:rPr>
        <w:t>ESL Action Plan 2011-2013</w:t>
      </w:r>
      <w:r>
        <w:rPr>
          <w:noProof/>
        </w:rPr>
        <w:tab/>
      </w:r>
      <w:r w:rsidR="002A7D49">
        <w:rPr>
          <w:noProof/>
        </w:rPr>
        <w:fldChar w:fldCharType="begin"/>
      </w:r>
      <w:r>
        <w:rPr>
          <w:noProof/>
        </w:rPr>
        <w:instrText xml:space="preserve"> PAGEREF _Toc322083128 \h </w:instrText>
      </w:r>
      <w:r w:rsidR="002A7D49">
        <w:rPr>
          <w:noProof/>
        </w:rPr>
      </w:r>
      <w:r w:rsidR="002A7D49">
        <w:rPr>
          <w:noProof/>
        </w:rPr>
        <w:fldChar w:fldCharType="separate"/>
      </w:r>
      <w:r w:rsidR="00617565">
        <w:rPr>
          <w:noProof/>
        </w:rPr>
        <w:t>26</w:t>
      </w:r>
      <w:r w:rsidR="002A7D49">
        <w:rPr>
          <w:noProof/>
        </w:rPr>
        <w:fldChar w:fldCharType="end"/>
      </w:r>
    </w:p>
    <w:p w:rsidR="00344D09" w:rsidRDefault="00344D09">
      <w:pPr>
        <w:pStyle w:val="TOC2"/>
        <w:tabs>
          <w:tab w:val="left" w:pos="1540"/>
          <w:tab w:val="right" w:leader="dot" w:pos="9487"/>
        </w:tabs>
        <w:rPr>
          <w:rFonts w:asciiTheme="minorHAnsi" w:eastAsiaTheme="minorEastAsia" w:hAnsiTheme="minorHAnsi" w:cstheme="minorBidi"/>
          <w:i w:val="0"/>
          <w:iCs w:val="0"/>
          <w:noProof/>
          <w:sz w:val="22"/>
          <w:szCs w:val="22"/>
          <w:lang w:eastAsia="en-AU"/>
        </w:rPr>
      </w:pPr>
      <w:r>
        <w:rPr>
          <w:noProof/>
        </w:rPr>
        <w:t xml:space="preserve">Appendix 3 </w:t>
      </w:r>
      <w:r>
        <w:rPr>
          <w:rFonts w:asciiTheme="minorHAnsi" w:eastAsiaTheme="minorEastAsia" w:hAnsiTheme="minorHAnsi" w:cstheme="minorBidi"/>
          <w:i w:val="0"/>
          <w:iCs w:val="0"/>
          <w:noProof/>
          <w:sz w:val="22"/>
          <w:szCs w:val="22"/>
          <w:lang w:eastAsia="en-AU"/>
        </w:rPr>
        <w:tab/>
      </w:r>
      <w:r>
        <w:rPr>
          <w:noProof/>
        </w:rPr>
        <w:t>Professional Learning, Resources and Support for teachers</w:t>
      </w:r>
      <w:r>
        <w:rPr>
          <w:noProof/>
        </w:rPr>
        <w:tab/>
      </w:r>
      <w:r w:rsidR="002A7D49">
        <w:rPr>
          <w:noProof/>
        </w:rPr>
        <w:fldChar w:fldCharType="begin"/>
      </w:r>
      <w:r>
        <w:rPr>
          <w:noProof/>
        </w:rPr>
        <w:instrText xml:space="preserve"> PAGEREF _Toc322083129 \h </w:instrText>
      </w:r>
      <w:r w:rsidR="002A7D49">
        <w:rPr>
          <w:noProof/>
        </w:rPr>
      </w:r>
      <w:r w:rsidR="002A7D49">
        <w:rPr>
          <w:noProof/>
        </w:rPr>
        <w:fldChar w:fldCharType="separate"/>
      </w:r>
      <w:r w:rsidR="00617565">
        <w:rPr>
          <w:noProof/>
        </w:rPr>
        <w:t>32</w:t>
      </w:r>
      <w:r w:rsidR="002A7D49">
        <w:rPr>
          <w:noProof/>
        </w:rPr>
        <w:fldChar w:fldCharType="end"/>
      </w:r>
    </w:p>
    <w:p w:rsidR="00344D09" w:rsidRDefault="00344D09">
      <w:pPr>
        <w:pStyle w:val="TOC2"/>
        <w:tabs>
          <w:tab w:val="left" w:pos="1540"/>
          <w:tab w:val="right" w:leader="dot" w:pos="9487"/>
        </w:tabs>
        <w:rPr>
          <w:rFonts w:asciiTheme="minorHAnsi" w:eastAsiaTheme="minorEastAsia" w:hAnsiTheme="minorHAnsi" w:cstheme="minorBidi"/>
          <w:i w:val="0"/>
          <w:iCs w:val="0"/>
          <w:noProof/>
          <w:sz w:val="22"/>
          <w:szCs w:val="22"/>
          <w:lang w:eastAsia="en-AU"/>
        </w:rPr>
      </w:pPr>
      <w:r>
        <w:rPr>
          <w:noProof/>
        </w:rPr>
        <w:t>Appendix 4</w:t>
      </w:r>
      <w:r>
        <w:rPr>
          <w:rFonts w:asciiTheme="minorHAnsi" w:eastAsiaTheme="minorEastAsia" w:hAnsiTheme="minorHAnsi" w:cstheme="minorBidi"/>
          <w:i w:val="0"/>
          <w:iCs w:val="0"/>
          <w:noProof/>
          <w:sz w:val="22"/>
          <w:szCs w:val="22"/>
          <w:lang w:eastAsia="en-AU"/>
        </w:rPr>
        <w:tab/>
      </w:r>
      <w:r>
        <w:rPr>
          <w:noProof/>
        </w:rPr>
        <w:t>Stakeholder Forum</w:t>
      </w:r>
      <w:r>
        <w:rPr>
          <w:noProof/>
        </w:rPr>
        <w:tab/>
      </w:r>
      <w:r w:rsidR="002A7D49">
        <w:rPr>
          <w:noProof/>
        </w:rPr>
        <w:fldChar w:fldCharType="begin"/>
      </w:r>
      <w:r>
        <w:rPr>
          <w:noProof/>
        </w:rPr>
        <w:instrText xml:space="preserve"> PAGEREF _Toc322083130 \h </w:instrText>
      </w:r>
      <w:r w:rsidR="002A7D49">
        <w:rPr>
          <w:noProof/>
        </w:rPr>
      </w:r>
      <w:r w:rsidR="002A7D49">
        <w:rPr>
          <w:noProof/>
        </w:rPr>
        <w:fldChar w:fldCharType="separate"/>
      </w:r>
      <w:r w:rsidR="00617565">
        <w:rPr>
          <w:noProof/>
        </w:rPr>
        <w:t>37</w:t>
      </w:r>
      <w:r w:rsidR="002A7D49">
        <w:rPr>
          <w:noProof/>
        </w:rPr>
        <w:fldChar w:fldCharType="end"/>
      </w:r>
    </w:p>
    <w:p w:rsidR="00344D09" w:rsidRDefault="00344D09">
      <w:pPr>
        <w:pStyle w:val="TOC2"/>
        <w:tabs>
          <w:tab w:val="left" w:pos="1540"/>
          <w:tab w:val="right" w:leader="dot" w:pos="9487"/>
        </w:tabs>
        <w:rPr>
          <w:rFonts w:asciiTheme="minorHAnsi" w:eastAsiaTheme="minorEastAsia" w:hAnsiTheme="minorHAnsi" w:cstheme="minorBidi"/>
          <w:i w:val="0"/>
          <w:iCs w:val="0"/>
          <w:noProof/>
          <w:sz w:val="22"/>
          <w:szCs w:val="22"/>
          <w:lang w:eastAsia="en-AU"/>
        </w:rPr>
      </w:pPr>
      <w:r>
        <w:rPr>
          <w:noProof/>
        </w:rPr>
        <w:t xml:space="preserve">Appendix 4.1 </w:t>
      </w:r>
      <w:r>
        <w:rPr>
          <w:rFonts w:asciiTheme="minorHAnsi" w:eastAsiaTheme="minorEastAsia" w:hAnsiTheme="minorHAnsi" w:cstheme="minorBidi"/>
          <w:i w:val="0"/>
          <w:iCs w:val="0"/>
          <w:noProof/>
          <w:sz w:val="22"/>
          <w:szCs w:val="22"/>
          <w:lang w:eastAsia="en-AU"/>
        </w:rPr>
        <w:tab/>
      </w:r>
      <w:r>
        <w:rPr>
          <w:noProof/>
        </w:rPr>
        <w:t>Stakeholder Forum Participants</w:t>
      </w:r>
      <w:r>
        <w:rPr>
          <w:noProof/>
        </w:rPr>
        <w:tab/>
      </w:r>
      <w:r w:rsidR="002A7D49">
        <w:rPr>
          <w:noProof/>
        </w:rPr>
        <w:fldChar w:fldCharType="begin"/>
      </w:r>
      <w:r>
        <w:rPr>
          <w:noProof/>
        </w:rPr>
        <w:instrText xml:space="preserve"> PAGEREF _Toc322083131 \h </w:instrText>
      </w:r>
      <w:r w:rsidR="002A7D49">
        <w:rPr>
          <w:noProof/>
        </w:rPr>
      </w:r>
      <w:r w:rsidR="002A7D49">
        <w:rPr>
          <w:noProof/>
        </w:rPr>
        <w:fldChar w:fldCharType="separate"/>
      </w:r>
      <w:r w:rsidR="00617565">
        <w:rPr>
          <w:noProof/>
        </w:rPr>
        <w:t>38</w:t>
      </w:r>
      <w:r w:rsidR="002A7D49">
        <w:rPr>
          <w:noProof/>
        </w:rPr>
        <w:fldChar w:fldCharType="end"/>
      </w:r>
    </w:p>
    <w:p w:rsidR="00344D09" w:rsidRDefault="00344D09">
      <w:pPr>
        <w:pStyle w:val="TOC2"/>
        <w:tabs>
          <w:tab w:val="left" w:pos="1540"/>
          <w:tab w:val="right" w:leader="dot" w:pos="9487"/>
        </w:tabs>
        <w:rPr>
          <w:rFonts w:asciiTheme="minorHAnsi" w:eastAsiaTheme="minorEastAsia" w:hAnsiTheme="minorHAnsi" w:cstheme="minorBidi"/>
          <w:i w:val="0"/>
          <w:iCs w:val="0"/>
          <w:noProof/>
          <w:sz w:val="22"/>
          <w:szCs w:val="22"/>
          <w:lang w:eastAsia="en-AU"/>
        </w:rPr>
      </w:pPr>
      <w:r>
        <w:rPr>
          <w:noProof/>
        </w:rPr>
        <w:t xml:space="preserve">Appendix 4.2 </w:t>
      </w:r>
      <w:r>
        <w:rPr>
          <w:rFonts w:asciiTheme="minorHAnsi" w:eastAsiaTheme="minorEastAsia" w:hAnsiTheme="minorHAnsi" w:cstheme="minorBidi"/>
          <w:i w:val="0"/>
          <w:iCs w:val="0"/>
          <w:noProof/>
          <w:sz w:val="22"/>
          <w:szCs w:val="22"/>
          <w:lang w:eastAsia="en-AU"/>
        </w:rPr>
        <w:tab/>
      </w:r>
      <w:r>
        <w:rPr>
          <w:noProof/>
        </w:rPr>
        <w:t>Stakeholder Forum – Background Paper</w:t>
      </w:r>
      <w:r>
        <w:rPr>
          <w:noProof/>
        </w:rPr>
        <w:tab/>
      </w:r>
      <w:r w:rsidR="002A7D49">
        <w:rPr>
          <w:noProof/>
        </w:rPr>
        <w:fldChar w:fldCharType="begin"/>
      </w:r>
      <w:r>
        <w:rPr>
          <w:noProof/>
        </w:rPr>
        <w:instrText xml:space="preserve"> PAGEREF _Toc322083132 \h </w:instrText>
      </w:r>
      <w:r w:rsidR="002A7D49">
        <w:rPr>
          <w:noProof/>
        </w:rPr>
      </w:r>
      <w:r w:rsidR="002A7D49">
        <w:rPr>
          <w:noProof/>
        </w:rPr>
        <w:fldChar w:fldCharType="separate"/>
      </w:r>
      <w:r w:rsidR="00617565">
        <w:rPr>
          <w:noProof/>
        </w:rPr>
        <w:t>40</w:t>
      </w:r>
      <w:r w:rsidR="002A7D49">
        <w:rPr>
          <w:noProof/>
        </w:rPr>
        <w:fldChar w:fldCharType="end"/>
      </w:r>
    </w:p>
    <w:p w:rsidR="00344D09" w:rsidRDefault="00344D09">
      <w:pPr>
        <w:pStyle w:val="TOC2"/>
        <w:tabs>
          <w:tab w:val="left" w:pos="1540"/>
          <w:tab w:val="right" w:leader="dot" w:pos="9487"/>
        </w:tabs>
        <w:rPr>
          <w:rFonts w:asciiTheme="minorHAnsi" w:eastAsiaTheme="minorEastAsia" w:hAnsiTheme="minorHAnsi" w:cstheme="minorBidi"/>
          <w:i w:val="0"/>
          <w:iCs w:val="0"/>
          <w:noProof/>
          <w:sz w:val="22"/>
          <w:szCs w:val="22"/>
          <w:lang w:eastAsia="en-AU"/>
        </w:rPr>
      </w:pPr>
      <w:r>
        <w:rPr>
          <w:noProof/>
        </w:rPr>
        <w:t xml:space="preserve">Appendix 4.3 </w:t>
      </w:r>
      <w:r>
        <w:rPr>
          <w:rFonts w:asciiTheme="minorHAnsi" w:eastAsiaTheme="minorEastAsia" w:hAnsiTheme="minorHAnsi" w:cstheme="minorBidi"/>
          <w:i w:val="0"/>
          <w:iCs w:val="0"/>
          <w:noProof/>
          <w:sz w:val="22"/>
          <w:szCs w:val="22"/>
          <w:lang w:eastAsia="en-AU"/>
        </w:rPr>
        <w:tab/>
      </w:r>
      <w:r>
        <w:rPr>
          <w:noProof/>
        </w:rPr>
        <w:t>Stakeholder Forum Overview and Process</w:t>
      </w:r>
      <w:r>
        <w:rPr>
          <w:noProof/>
        </w:rPr>
        <w:tab/>
      </w:r>
      <w:r w:rsidR="002A7D49">
        <w:rPr>
          <w:noProof/>
        </w:rPr>
        <w:fldChar w:fldCharType="begin"/>
      </w:r>
      <w:r>
        <w:rPr>
          <w:noProof/>
        </w:rPr>
        <w:instrText xml:space="preserve"> PAGEREF _Toc322083133 \h </w:instrText>
      </w:r>
      <w:r w:rsidR="002A7D49">
        <w:rPr>
          <w:noProof/>
        </w:rPr>
      </w:r>
      <w:r w:rsidR="002A7D49">
        <w:rPr>
          <w:noProof/>
        </w:rPr>
        <w:fldChar w:fldCharType="separate"/>
      </w:r>
      <w:r w:rsidR="00617565">
        <w:rPr>
          <w:noProof/>
        </w:rPr>
        <w:t>44</w:t>
      </w:r>
      <w:r w:rsidR="002A7D49">
        <w:rPr>
          <w:noProof/>
        </w:rPr>
        <w:fldChar w:fldCharType="end"/>
      </w:r>
    </w:p>
    <w:p w:rsidR="00344D09" w:rsidRDefault="00344D09">
      <w:pPr>
        <w:pStyle w:val="TOC2"/>
        <w:tabs>
          <w:tab w:val="left" w:pos="1540"/>
          <w:tab w:val="right" w:leader="dot" w:pos="9487"/>
        </w:tabs>
        <w:rPr>
          <w:rFonts w:asciiTheme="minorHAnsi" w:eastAsiaTheme="minorEastAsia" w:hAnsiTheme="minorHAnsi" w:cstheme="minorBidi"/>
          <w:i w:val="0"/>
          <w:iCs w:val="0"/>
          <w:noProof/>
          <w:sz w:val="22"/>
          <w:szCs w:val="22"/>
          <w:lang w:eastAsia="en-AU"/>
        </w:rPr>
      </w:pPr>
      <w:r>
        <w:rPr>
          <w:noProof/>
        </w:rPr>
        <w:t xml:space="preserve">Appendix 4.4 </w:t>
      </w:r>
      <w:r>
        <w:rPr>
          <w:rFonts w:asciiTheme="minorHAnsi" w:eastAsiaTheme="minorEastAsia" w:hAnsiTheme="minorHAnsi" w:cstheme="minorBidi"/>
          <w:i w:val="0"/>
          <w:iCs w:val="0"/>
          <w:noProof/>
          <w:sz w:val="22"/>
          <w:szCs w:val="22"/>
          <w:lang w:eastAsia="en-AU"/>
        </w:rPr>
        <w:tab/>
      </w:r>
      <w:r>
        <w:rPr>
          <w:noProof/>
        </w:rPr>
        <w:t>Summary of Stakeholder feedback</w:t>
      </w:r>
      <w:r>
        <w:rPr>
          <w:noProof/>
        </w:rPr>
        <w:tab/>
      </w:r>
      <w:r w:rsidR="002A7D49">
        <w:rPr>
          <w:noProof/>
        </w:rPr>
        <w:fldChar w:fldCharType="begin"/>
      </w:r>
      <w:r>
        <w:rPr>
          <w:noProof/>
        </w:rPr>
        <w:instrText xml:space="preserve"> PAGEREF _Toc322083134 \h </w:instrText>
      </w:r>
      <w:r w:rsidR="002A7D49">
        <w:rPr>
          <w:noProof/>
        </w:rPr>
      </w:r>
      <w:r w:rsidR="002A7D49">
        <w:rPr>
          <w:noProof/>
        </w:rPr>
        <w:fldChar w:fldCharType="separate"/>
      </w:r>
      <w:r w:rsidR="00617565">
        <w:rPr>
          <w:noProof/>
        </w:rPr>
        <w:t>46</w:t>
      </w:r>
      <w:r w:rsidR="002A7D49">
        <w:rPr>
          <w:noProof/>
        </w:rPr>
        <w:fldChar w:fldCharType="end"/>
      </w:r>
    </w:p>
    <w:p w:rsidR="00344D09" w:rsidRDefault="00344D09">
      <w:pPr>
        <w:pStyle w:val="TOC2"/>
        <w:tabs>
          <w:tab w:val="left" w:pos="1540"/>
          <w:tab w:val="right" w:leader="dot" w:pos="9487"/>
        </w:tabs>
        <w:rPr>
          <w:rFonts w:asciiTheme="minorHAnsi" w:eastAsiaTheme="minorEastAsia" w:hAnsiTheme="minorHAnsi" w:cstheme="minorBidi"/>
          <w:i w:val="0"/>
          <w:iCs w:val="0"/>
          <w:noProof/>
          <w:sz w:val="22"/>
          <w:szCs w:val="22"/>
          <w:lang w:eastAsia="en-AU"/>
        </w:rPr>
      </w:pPr>
      <w:r>
        <w:rPr>
          <w:noProof/>
        </w:rPr>
        <w:t xml:space="preserve">Appendix 5 </w:t>
      </w:r>
      <w:r>
        <w:rPr>
          <w:rFonts w:asciiTheme="minorHAnsi" w:eastAsiaTheme="minorEastAsia" w:hAnsiTheme="minorHAnsi" w:cstheme="minorBidi"/>
          <w:i w:val="0"/>
          <w:iCs w:val="0"/>
          <w:noProof/>
          <w:sz w:val="22"/>
          <w:szCs w:val="22"/>
          <w:lang w:eastAsia="en-AU"/>
        </w:rPr>
        <w:tab/>
      </w:r>
      <w:r>
        <w:rPr>
          <w:noProof/>
        </w:rPr>
        <w:t>Language Performance Rating Assessment process</w:t>
      </w:r>
      <w:r>
        <w:rPr>
          <w:noProof/>
        </w:rPr>
        <w:tab/>
      </w:r>
      <w:r w:rsidR="002A7D49">
        <w:rPr>
          <w:noProof/>
        </w:rPr>
        <w:fldChar w:fldCharType="begin"/>
      </w:r>
      <w:r>
        <w:rPr>
          <w:noProof/>
        </w:rPr>
        <w:instrText xml:space="preserve"> PAGEREF _Toc322083135 \h </w:instrText>
      </w:r>
      <w:r w:rsidR="002A7D49">
        <w:rPr>
          <w:noProof/>
        </w:rPr>
      </w:r>
      <w:r w:rsidR="002A7D49">
        <w:rPr>
          <w:noProof/>
        </w:rPr>
        <w:fldChar w:fldCharType="separate"/>
      </w:r>
      <w:r w:rsidR="00617565">
        <w:rPr>
          <w:noProof/>
        </w:rPr>
        <w:t>49</w:t>
      </w:r>
      <w:r w:rsidR="002A7D49">
        <w:rPr>
          <w:noProof/>
        </w:rPr>
        <w:fldChar w:fldCharType="end"/>
      </w:r>
    </w:p>
    <w:p w:rsidR="00280FC1" w:rsidRPr="00DA4655" w:rsidRDefault="002A7D49" w:rsidP="00504B61">
      <w:pPr>
        <w:spacing w:before="120" w:after="120"/>
        <w:sectPr w:rsidR="00280FC1" w:rsidRPr="00DA4655" w:rsidSect="00DB27D5">
          <w:footerReference w:type="default" r:id="rId9"/>
          <w:type w:val="continuous"/>
          <w:pgSz w:w="11906" w:h="16838"/>
          <w:pgMar w:top="1276" w:right="1133" w:bottom="1134" w:left="1276" w:header="708" w:footer="340" w:gutter="0"/>
          <w:cols w:space="708"/>
          <w:titlePg/>
          <w:docGrid w:linePitch="360"/>
        </w:sectPr>
      </w:pPr>
      <w:r>
        <w:rPr>
          <w:sz w:val="20"/>
        </w:rPr>
        <w:fldChar w:fldCharType="end"/>
      </w:r>
    </w:p>
    <w:p w:rsidR="008404FB" w:rsidRDefault="00504B61" w:rsidP="00C13B7C">
      <w:pPr>
        <w:pStyle w:val="Heading1"/>
      </w:pPr>
      <w:bookmarkStart w:id="0" w:name="_Toc318813915"/>
      <w:bookmarkStart w:id="1" w:name="_Toc318816198"/>
      <w:bookmarkStart w:id="2" w:name="_Toc318816226"/>
      <w:bookmarkStart w:id="3" w:name="_Toc320010922"/>
      <w:r>
        <w:rPr>
          <w:rStyle w:val="BookTitle"/>
          <w:b/>
        </w:rPr>
        <w:br w:type="page"/>
      </w:r>
      <w:bookmarkStart w:id="4" w:name="_Toc322083098"/>
      <w:bookmarkStart w:id="5" w:name="_Toc318813917"/>
      <w:bookmarkStart w:id="6" w:name="_Toc318816200"/>
      <w:bookmarkStart w:id="7" w:name="_Toc318816228"/>
      <w:bookmarkStart w:id="8" w:name="_Toc320010924"/>
      <w:bookmarkEnd w:id="0"/>
      <w:bookmarkEnd w:id="1"/>
      <w:bookmarkEnd w:id="2"/>
      <w:bookmarkEnd w:id="3"/>
      <w:r w:rsidR="00D964F0">
        <w:t>R</w:t>
      </w:r>
      <w:r w:rsidR="00AF5222">
        <w:t xml:space="preserve">EVIEW </w:t>
      </w:r>
      <w:r w:rsidR="00D964F0">
        <w:t xml:space="preserve">OF </w:t>
      </w:r>
      <w:r w:rsidR="00D957F0">
        <w:t>EALD</w:t>
      </w:r>
      <w:r w:rsidR="00D964F0">
        <w:t xml:space="preserve"> SERVICES IN ACT PUBLIC SCHOOLS</w:t>
      </w:r>
      <w:bookmarkEnd w:id="4"/>
    </w:p>
    <w:p w:rsidR="00BA5F57" w:rsidRPr="00D964F0" w:rsidRDefault="00CF4607" w:rsidP="00C13B7C">
      <w:pPr>
        <w:pStyle w:val="Heading2"/>
      </w:pPr>
      <w:bookmarkStart w:id="9" w:name="_Toc322083099"/>
      <w:r>
        <w:rPr>
          <w:rFonts w:eastAsia="Times New Roman"/>
        </w:rPr>
        <w:t xml:space="preserve">1. </w:t>
      </w:r>
      <w:r w:rsidR="00D964F0" w:rsidRPr="00D964F0">
        <w:t>BACKGROUND</w:t>
      </w:r>
      <w:bookmarkEnd w:id="9"/>
    </w:p>
    <w:p w:rsidR="00FB5B4B" w:rsidRDefault="00FB5B4B" w:rsidP="006B0FDE">
      <w:pPr>
        <w:spacing w:before="120" w:after="120"/>
        <w:rPr>
          <w:rFonts w:cs="Calibri"/>
        </w:rPr>
      </w:pPr>
      <w:r>
        <w:rPr>
          <w:rFonts w:cs="Calibri"/>
        </w:rPr>
        <w:t>The demographics of the ACT are changing. The skilled migration policy, coupled with the ACT skills shortage, has seen families from many different countries settling in Canberra.  In addition, the number of refugees arriving has increased.  Many of these arrivals have limited English proficiency and this is reflected in the increasing number of ACT public school students requiring EALD</w:t>
      </w:r>
      <w:r w:rsidR="002B5244">
        <w:rPr>
          <w:rFonts w:cs="Calibri"/>
        </w:rPr>
        <w:t xml:space="preserve"> (</w:t>
      </w:r>
      <w:r w:rsidR="002B5244" w:rsidRPr="00DA4655">
        <w:rPr>
          <w:rFonts w:eastAsia="Times New Roman" w:cs="Calibri"/>
        </w:rPr>
        <w:t>English as an Additional Language or Dialect</w:t>
      </w:r>
      <w:r w:rsidR="002B5244">
        <w:rPr>
          <w:rFonts w:eastAsia="Times New Roman" w:cs="Calibri"/>
        </w:rPr>
        <w:t>)</w:t>
      </w:r>
      <w:r>
        <w:rPr>
          <w:rFonts w:cs="Calibri"/>
        </w:rPr>
        <w:t xml:space="preserve"> support.</w:t>
      </w:r>
    </w:p>
    <w:p w:rsidR="00FB5B4B" w:rsidRDefault="00A43E8F" w:rsidP="006B0FDE">
      <w:pPr>
        <w:spacing w:before="120" w:after="120"/>
        <w:rPr>
          <w:rFonts w:cs="Calibri"/>
        </w:rPr>
      </w:pPr>
      <w:r>
        <w:rPr>
          <w:rFonts w:cs="Calibri"/>
        </w:rPr>
        <w:t>The focus of our E</w:t>
      </w:r>
      <w:r w:rsidR="00FB5B4B">
        <w:rPr>
          <w:rFonts w:cs="Calibri"/>
        </w:rPr>
        <w:t xml:space="preserve">SL/EALD support program is to lift the levels of language proficiency so that students are able to participate in the full curriculum, including literacy and language learning.  Therefore, a combination of targeted support for the most needy students, </w:t>
      </w:r>
      <w:r>
        <w:rPr>
          <w:rFonts w:cs="Calibri"/>
        </w:rPr>
        <w:t xml:space="preserve">Introductory English </w:t>
      </w:r>
      <w:r w:rsidR="00522A11">
        <w:rPr>
          <w:rFonts w:cs="Calibri"/>
        </w:rPr>
        <w:t xml:space="preserve">Centres </w:t>
      </w:r>
      <w:r>
        <w:rPr>
          <w:rFonts w:cs="Calibri"/>
        </w:rPr>
        <w:t>(IECs)</w:t>
      </w:r>
      <w:r w:rsidR="00FB5B4B">
        <w:rPr>
          <w:rFonts w:cs="Calibri"/>
        </w:rPr>
        <w:t xml:space="preserve"> and support in mainstream classes for those with higher levels of proficiency is provide</w:t>
      </w:r>
      <w:r>
        <w:rPr>
          <w:rFonts w:cs="Calibri"/>
        </w:rPr>
        <w:t>d.  In 2012, there are over 69 Full Time E</w:t>
      </w:r>
      <w:r w:rsidR="00FB5B4B">
        <w:rPr>
          <w:rFonts w:cs="Calibri"/>
        </w:rPr>
        <w:t>quivalent (FTE) EALD teacher</w:t>
      </w:r>
      <w:r>
        <w:rPr>
          <w:rFonts w:cs="Calibri"/>
        </w:rPr>
        <w:t>s in mainstream schools and 21 FTE</w:t>
      </w:r>
      <w:r w:rsidR="00FB5B4B">
        <w:rPr>
          <w:rFonts w:cs="Calibri"/>
        </w:rPr>
        <w:t xml:space="preserve"> teachers in </w:t>
      </w:r>
      <w:r>
        <w:rPr>
          <w:rFonts w:cs="Calibri"/>
        </w:rPr>
        <w:t>IECs</w:t>
      </w:r>
      <w:r w:rsidR="00FB5B4B">
        <w:rPr>
          <w:rFonts w:cs="Calibri"/>
        </w:rPr>
        <w:t>.</w:t>
      </w:r>
    </w:p>
    <w:p w:rsidR="00EE1335" w:rsidRDefault="00EE1335" w:rsidP="006B0FDE">
      <w:pPr>
        <w:spacing w:before="120" w:after="120"/>
        <w:rPr>
          <w:rFonts w:cs="Calibri"/>
        </w:rPr>
      </w:pPr>
      <w:r>
        <w:rPr>
          <w:rFonts w:cs="Calibri"/>
        </w:rPr>
        <w:t xml:space="preserve">Funding for </w:t>
      </w:r>
      <w:r w:rsidR="000E2FFD">
        <w:rPr>
          <w:rFonts w:cs="Calibri"/>
        </w:rPr>
        <w:t xml:space="preserve">ESL/EALD students has been </w:t>
      </w:r>
      <w:r>
        <w:rPr>
          <w:rFonts w:cs="Calibri"/>
        </w:rPr>
        <w:t>shared between the Australian Government and each jurisdiction.</w:t>
      </w:r>
      <w:r w:rsidRPr="00EE1335">
        <w:rPr>
          <w:rFonts w:eastAsia="Times New Roman" w:cs="Calibri"/>
        </w:rPr>
        <w:t xml:space="preserve"> </w:t>
      </w:r>
      <w:r w:rsidRPr="00DA4655">
        <w:rPr>
          <w:rFonts w:eastAsia="Times New Roman" w:cs="Calibri"/>
        </w:rPr>
        <w:t>Under the new National Education Agreement</w:t>
      </w:r>
      <w:r>
        <w:rPr>
          <w:rFonts w:eastAsia="Times New Roman" w:cs="Calibri"/>
        </w:rPr>
        <w:t xml:space="preserve"> introduced in 2009</w:t>
      </w:r>
      <w:r w:rsidRPr="009A18E0">
        <w:rPr>
          <w:rFonts w:eastAsia="Times New Roman" w:cs="Calibri"/>
        </w:rPr>
        <w:t>,</w:t>
      </w:r>
      <w:r w:rsidRPr="00DA4655">
        <w:rPr>
          <w:rFonts w:eastAsia="Times New Roman" w:cs="Calibri"/>
        </w:rPr>
        <w:t xml:space="preserve"> States and Territories receive </w:t>
      </w:r>
      <w:r>
        <w:rPr>
          <w:rFonts w:eastAsia="Times New Roman" w:cs="Calibri"/>
        </w:rPr>
        <w:t xml:space="preserve">Australian Government </w:t>
      </w:r>
      <w:r w:rsidRPr="00DA4655">
        <w:rPr>
          <w:rFonts w:eastAsia="Times New Roman" w:cs="Calibri"/>
        </w:rPr>
        <w:t xml:space="preserve">funding for ESL students as part of a total budget. </w:t>
      </w:r>
      <w:r w:rsidRPr="00DA4655">
        <w:rPr>
          <w:rFonts w:cs="Calibri"/>
        </w:rPr>
        <w:t>Prior to th</w:t>
      </w:r>
      <w:r>
        <w:rPr>
          <w:rFonts w:cs="Calibri"/>
        </w:rPr>
        <w:t>is</w:t>
      </w:r>
      <w:r w:rsidR="00C238DC">
        <w:rPr>
          <w:rFonts w:cs="Calibri"/>
        </w:rPr>
        <w:t>,</w:t>
      </w:r>
      <w:r>
        <w:rPr>
          <w:rFonts w:cs="Calibri"/>
        </w:rPr>
        <w:t xml:space="preserve"> jurisdictions received a per capita allocation for ESL-New Arrivals under a</w:t>
      </w:r>
      <w:r w:rsidRPr="00DA4655">
        <w:rPr>
          <w:rFonts w:cs="Calibri"/>
        </w:rPr>
        <w:t xml:space="preserve"> DEEWR </w:t>
      </w:r>
      <w:r w:rsidR="004D3BF4" w:rsidRPr="00DA4655">
        <w:rPr>
          <w:rFonts w:cs="Calibri"/>
        </w:rPr>
        <w:t>target</w:t>
      </w:r>
      <w:r w:rsidR="004D3BF4">
        <w:rPr>
          <w:rFonts w:cs="Calibri"/>
        </w:rPr>
        <w:t>ed</w:t>
      </w:r>
      <w:r w:rsidRPr="00DA4655">
        <w:rPr>
          <w:rFonts w:cs="Calibri"/>
        </w:rPr>
        <w:t xml:space="preserve"> funding agreement</w:t>
      </w:r>
      <w:r>
        <w:rPr>
          <w:rFonts w:cs="Calibri"/>
        </w:rPr>
        <w:t>.</w:t>
      </w:r>
    </w:p>
    <w:p w:rsidR="006B0FDE" w:rsidRPr="00DA4655" w:rsidRDefault="006B0FDE" w:rsidP="006B0FDE">
      <w:pPr>
        <w:spacing w:before="120" w:after="120"/>
        <w:rPr>
          <w:i/>
        </w:rPr>
      </w:pPr>
      <w:r w:rsidRPr="00DA4655">
        <w:rPr>
          <w:rFonts w:cs="Calibri"/>
        </w:rPr>
        <w:t>The provision of support to EALD students is a national issue and there is considerable work being undertaken by AEEYSOC</w:t>
      </w:r>
      <w:r w:rsidR="006059E2">
        <w:rPr>
          <w:rStyle w:val="FootnoteReference"/>
          <w:rFonts w:cs="Calibri"/>
        </w:rPr>
        <w:footnoteReference w:id="1"/>
      </w:r>
      <w:r w:rsidR="00165C36">
        <w:rPr>
          <w:rFonts w:cs="Calibri"/>
          <w:i/>
        </w:rPr>
        <w:t xml:space="preserve"> </w:t>
      </w:r>
      <w:r w:rsidRPr="00DA4655">
        <w:rPr>
          <w:rFonts w:cs="Calibri"/>
        </w:rPr>
        <w:t>and ACAR</w:t>
      </w:r>
      <w:r w:rsidRPr="005B69E6">
        <w:rPr>
          <w:rFonts w:cs="Calibri"/>
        </w:rPr>
        <w:t>A</w:t>
      </w:r>
      <w:r w:rsidR="006059E2">
        <w:rPr>
          <w:rStyle w:val="FootnoteReference"/>
          <w:rFonts w:cs="Calibri"/>
        </w:rPr>
        <w:footnoteReference w:id="2"/>
      </w:r>
      <w:r w:rsidRPr="005B69E6">
        <w:rPr>
          <w:rFonts w:cs="Calibri"/>
        </w:rPr>
        <w:t>.</w:t>
      </w:r>
      <w:r w:rsidRPr="00DA4655">
        <w:rPr>
          <w:rStyle w:val="FootnoteReference"/>
          <w:i/>
        </w:rPr>
        <w:t xml:space="preserve">  </w:t>
      </w:r>
    </w:p>
    <w:p w:rsidR="00C75F58" w:rsidRDefault="006B0FDE" w:rsidP="006B0FDE">
      <w:pPr>
        <w:spacing w:before="120" w:after="120"/>
        <w:rPr>
          <w:rFonts w:cs="Calibri"/>
        </w:rPr>
      </w:pPr>
      <w:r>
        <w:rPr>
          <w:rFonts w:cs="Calibri"/>
        </w:rPr>
        <w:t>C</w:t>
      </w:r>
      <w:r w:rsidRPr="00DA4655">
        <w:rPr>
          <w:rFonts w:cs="Calibri"/>
        </w:rPr>
        <w:t xml:space="preserve">urrently </w:t>
      </w:r>
      <w:r>
        <w:rPr>
          <w:rFonts w:cs="Calibri"/>
        </w:rPr>
        <w:t xml:space="preserve">there is </w:t>
      </w:r>
      <w:r w:rsidRPr="00DA4655">
        <w:rPr>
          <w:rFonts w:cs="Calibri"/>
        </w:rPr>
        <w:t xml:space="preserve">no national approach to the provision of </w:t>
      </w:r>
      <w:r w:rsidR="00165C36">
        <w:rPr>
          <w:rFonts w:cs="Calibri"/>
        </w:rPr>
        <w:t xml:space="preserve">ESL/EALD </w:t>
      </w:r>
      <w:r w:rsidRPr="00DA4655">
        <w:rPr>
          <w:rFonts w:cs="Calibri"/>
        </w:rPr>
        <w:t>services to students. Jurisdictions have different def</w:t>
      </w:r>
      <w:r w:rsidR="002B5244">
        <w:rPr>
          <w:rFonts w:cs="Calibri"/>
        </w:rPr>
        <w:t>initions of ESL (EALD) learners</w:t>
      </w:r>
      <w:r w:rsidRPr="00DA4655">
        <w:rPr>
          <w:rFonts w:cs="Calibri"/>
        </w:rPr>
        <w:t xml:space="preserve"> and apply different eligibility criteria to access services</w:t>
      </w:r>
      <w:r w:rsidR="00EE1335">
        <w:rPr>
          <w:rFonts w:cs="Calibri"/>
        </w:rPr>
        <w:t xml:space="preserve">. </w:t>
      </w:r>
      <w:r w:rsidR="00165C36">
        <w:rPr>
          <w:rFonts w:cs="Calibri"/>
        </w:rPr>
        <w:t>The range of approaches to support EALD st</w:t>
      </w:r>
      <w:r w:rsidR="00D957F0">
        <w:rPr>
          <w:rFonts w:cs="Calibri"/>
        </w:rPr>
        <w:t>udents across Australia is illustrated in Appendix 1.</w:t>
      </w:r>
    </w:p>
    <w:p w:rsidR="00EE1335" w:rsidRPr="00C75F58" w:rsidRDefault="00EE1335" w:rsidP="006B0FDE">
      <w:pPr>
        <w:spacing w:before="120" w:after="120"/>
        <w:rPr>
          <w:rFonts w:cs="Calibri"/>
        </w:rPr>
      </w:pPr>
      <w:r w:rsidRPr="00DA4655">
        <w:rPr>
          <w:rFonts w:eastAsia="Times New Roman" w:cs="Calibri"/>
        </w:rPr>
        <w:t>In September 2011</w:t>
      </w:r>
      <w:r w:rsidR="002B5244">
        <w:rPr>
          <w:rFonts w:eastAsia="Times New Roman" w:cs="Calibri"/>
        </w:rPr>
        <w:t>,</w:t>
      </w:r>
      <w:r w:rsidRPr="00DA4655">
        <w:rPr>
          <w:rFonts w:eastAsia="Times New Roman" w:cs="Calibri"/>
        </w:rPr>
        <w:t xml:space="preserve"> AEEYSOC initiated a survey of all education jurisdictions regarding the funding provision for English as a Second Language (ESL) programs in schools. At the time of</w:t>
      </w:r>
      <w:r w:rsidR="002B5244">
        <w:rPr>
          <w:rFonts w:eastAsia="Times New Roman" w:cs="Calibri"/>
        </w:rPr>
        <w:t xml:space="preserve"> </w:t>
      </w:r>
      <w:r w:rsidRPr="00DA4655">
        <w:rPr>
          <w:rFonts w:eastAsia="Times New Roman" w:cs="Calibri"/>
        </w:rPr>
        <w:t>writing, there has been no analysis of this survey released by AEEYSOC.</w:t>
      </w:r>
      <w:r w:rsidR="00C75F58" w:rsidRPr="00C75F58">
        <w:rPr>
          <w:rFonts w:cs="Calibri"/>
        </w:rPr>
        <w:t xml:space="preserve"> </w:t>
      </w:r>
      <w:r w:rsidR="00C75F58">
        <w:rPr>
          <w:rFonts w:cs="Calibri"/>
        </w:rPr>
        <w:t>It is not yet clear how this will contribute to greater consistency in the identification and provision of support for EALD students.</w:t>
      </w:r>
    </w:p>
    <w:p w:rsidR="006B0FDE" w:rsidRDefault="006B0FDE" w:rsidP="006B0FDE">
      <w:pPr>
        <w:spacing w:before="120" w:after="120"/>
        <w:rPr>
          <w:rFonts w:eastAsia="Times New Roman" w:cs="Calibri"/>
        </w:rPr>
      </w:pPr>
      <w:r w:rsidRPr="00DA4655">
        <w:rPr>
          <w:rFonts w:eastAsia="Times New Roman" w:cs="Calibri"/>
        </w:rPr>
        <w:t>ACARA has developed a de</w:t>
      </w:r>
      <w:r w:rsidR="00D957F0">
        <w:rPr>
          <w:rFonts w:eastAsia="Times New Roman" w:cs="Calibri"/>
        </w:rPr>
        <w:t>finition</w:t>
      </w:r>
      <w:r w:rsidRPr="00DA4655">
        <w:rPr>
          <w:rFonts w:eastAsia="Times New Roman" w:cs="Calibri"/>
        </w:rPr>
        <w:t xml:space="preserve"> of students who are learning English as an Additional Language or Dialect and has included this in F</w:t>
      </w:r>
      <w:r>
        <w:rPr>
          <w:rFonts w:eastAsia="Times New Roman" w:cs="Calibri"/>
        </w:rPr>
        <w:t>oundation</w:t>
      </w:r>
      <w:r w:rsidRPr="00DA4655">
        <w:rPr>
          <w:rFonts w:eastAsia="Times New Roman" w:cs="Calibri"/>
        </w:rPr>
        <w:t>-10 curriculum documents for English, m</w:t>
      </w:r>
      <w:r w:rsidR="00C10E80">
        <w:rPr>
          <w:rFonts w:eastAsia="Times New Roman" w:cs="Calibri"/>
        </w:rPr>
        <w:t>athematics, science and history</w:t>
      </w:r>
      <w:r w:rsidRPr="00DA4655">
        <w:rPr>
          <w:rFonts w:eastAsia="Times New Roman" w:cs="Calibri"/>
        </w:rPr>
        <w:t>.</w:t>
      </w:r>
    </w:p>
    <w:p w:rsidR="009250A8" w:rsidRDefault="009250A8" w:rsidP="009250A8">
      <w:pPr>
        <w:spacing w:before="120" w:after="120"/>
        <w:ind w:left="360"/>
        <w:rPr>
          <w:rFonts w:cs="Calibri"/>
          <w:b/>
          <w:color w:val="000000"/>
        </w:rPr>
      </w:pPr>
    </w:p>
    <w:p w:rsidR="009250A8" w:rsidRPr="009250A8" w:rsidRDefault="009250A8" w:rsidP="00C13B7C">
      <w:pPr>
        <w:pStyle w:val="Heading2"/>
      </w:pPr>
      <w:bookmarkStart w:id="10" w:name="_Toc322080304"/>
      <w:bookmarkStart w:id="11" w:name="_Toc322081785"/>
      <w:bookmarkStart w:id="12" w:name="_Toc322083100"/>
      <w:r>
        <w:t xml:space="preserve">1.1 </w:t>
      </w:r>
      <w:r w:rsidRPr="009250A8">
        <w:t>Legislative Assembly Motion</w:t>
      </w:r>
      <w:bookmarkEnd w:id="10"/>
      <w:bookmarkEnd w:id="11"/>
      <w:bookmarkEnd w:id="12"/>
    </w:p>
    <w:p w:rsidR="00511D82" w:rsidRPr="00DA4655" w:rsidRDefault="00511D82" w:rsidP="00511D82">
      <w:pPr>
        <w:spacing w:before="120" w:after="120"/>
      </w:pPr>
      <w:r w:rsidRPr="00DA4655">
        <w:t>Following concerns in 2011 raised by a range of stakeholders, on 7 December 2011</w:t>
      </w:r>
      <w:r w:rsidR="00CB79E7">
        <w:t>,</w:t>
      </w:r>
      <w:r w:rsidRPr="00DA4655">
        <w:t xml:space="preserve"> the ACT Legislative Assembly passed the following motion:</w:t>
      </w:r>
    </w:p>
    <w:p w:rsidR="00511D82" w:rsidRPr="00CB79E7" w:rsidRDefault="00511D82" w:rsidP="008B2A53">
      <w:pPr>
        <w:spacing w:before="120" w:after="120"/>
        <w:ind w:right="685"/>
        <w:rPr>
          <w:i/>
        </w:rPr>
      </w:pPr>
      <w:r w:rsidRPr="00CB79E7">
        <w:rPr>
          <w:i/>
        </w:rPr>
        <w:t xml:space="preserve">“That this Assembly </w:t>
      </w:r>
      <w:r w:rsidRPr="00CB79E7">
        <w:rPr>
          <w:i/>
        </w:rPr>
        <w:br/>
        <w:t xml:space="preserve">(1) notes: </w:t>
      </w:r>
    </w:p>
    <w:p w:rsidR="00511D82" w:rsidRPr="00CB79E7" w:rsidRDefault="00511D82" w:rsidP="008B2A53">
      <w:pPr>
        <w:spacing w:before="120" w:after="120"/>
        <w:ind w:left="709" w:right="685"/>
        <w:rPr>
          <w:i/>
        </w:rPr>
      </w:pPr>
      <w:r w:rsidRPr="00CB79E7">
        <w:rPr>
          <w:i/>
        </w:rPr>
        <w:t xml:space="preserve">(a) that approximately 12 percent or nearly 4 900 students in ACT public schools have been assessed as requiring English as a second language (ESL) support, an increase of 35 percent since 2000; </w:t>
      </w:r>
    </w:p>
    <w:p w:rsidR="00511D82" w:rsidRPr="00CB79E7" w:rsidRDefault="00511D82" w:rsidP="008B2A53">
      <w:pPr>
        <w:spacing w:before="120" w:after="120"/>
        <w:ind w:left="709" w:right="685"/>
        <w:rPr>
          <w:i/>
        </w:rPr>
      </w:pPr>
      <w:r w:rsidRPr="00CB79E7">
        <w:rPr>
          <w:i/>
        </w:rPr>
        <w:t xml:space="preserve">(b) </w:t>
      </w:r>
      <w:proofErr w:type="gramStart"/>
      <w:r w:rsidRPr="00CB79E7">
        <w:rPr>
          <w:i/>
        </w:rPr>
        <w:t>that</w:t>
      </w:r>
      <w:proofErr w:type="gramEnd"/>
      <w:r w:rsidRPr="00CB79E7">
        <w:rPr>
          <w:i/>
        </w:rPr>
        <w:t xml:space="preserve"> under the current rating scale, only 55 percent of students identified in need of ESL support in ACT government schools attract ESL funding; </w:t>
      </w:r>
    </w:p>
    <w:p w:rsidR="00511D82" w:rsidRPr="00CB79E7" w:rsidRDefault="00511D82" w:rsidP="008B2A53">
      <w:pPr>
        <w:spacing w:before="120" w:after="120"/>
        <w:ind w:left="709" w:right="685"/>
        <w:rPr>
          <w:i/>
        </w:rPr>
      </w:pPr>
      <w:r w:rsidRPr="00CB79E7">
        <w:rPr>
          <w:i/>
        </w:rPr>
        <w:t xml:space="preserve">(c) that this continued lowering of English proficiency was the subject of several recommendations in the Legislative Assembly Standing Committee on Education, Training and Youth Affairs report, Inquiry into the Educational Achievement Gap in the ACT, of May 2010; </w:t>
      </w:r>
    </w:p>
    <w:p w:rsidR="00511D82" w:rsidRPr="00CB79E7" w:rsidRDefault="00511D82" w:rsidP="008B2A53">
      <w:pPr>
        <w:spacing w:before="120" w:after="120"/>
        <w:ind w:left="709" w:right="685"/>
        <w:rPr>
          <w:i/>
        </w:rPr>
      </w:pPr>
      <w:r w:rsidRPr="00CB79E7">
        <w:rPr>
          <w:i/>
        </w:rPr>
        <w:t xml:space="preserve">(d) </w:t>
      </w:r>
      <w:proofErr w:type="gramStart"/>
      <w:r w:rsidRPr="00CB79E7">
        <w:rPr>
          <w:i/>
        </w:rPr>
        <w:t>the</w:t>
      </w:r>
      <w:proofErr w:type="gramEnd"/>
      <w:r w:rsidRPr="00CB79E7">
        <w:rPr>
          <w:i/>
        </w:rPr>
        <w:t xml:space="preserve"> ACT Government has delivered a record $8 million to ESL programs in the 2011-2012 budget, which includes funding for ESL professional learning programs for classroom teachers."</w:t>
      </w:r>
    </w:p>
    <w:p w:rsidR="00511D82" w:rsidRPr="00CB79E7" w:rsidRDefault="00511D82" w:rsidP="008B2A53">
      <w:pPr>
        <w:spacing w:before="120" w:after="120"/>
        <w:ind w:right="685"/>
        <w:rPr>
          <w:i/>
        </w:rPr>
      </w:pPr>
      <w:r w:rsidRPr="00CB79E7">
        <w:rPr>
          <w:i/>
        </w:rPr>
        <w:t xml:space="preserve">(2) </w:t>
      </w:r>
      <w:proofErr w:type="gramStart"/>
      <w:r w:rsidRPr="00CB79E7">
        <w:rPr>
          <w:i/>
        </w:rPr>
        <w:t>calls</w:t>
      </w:r>
      <w:proofErr w:type="gramEnd"/>
      <w:r w:rsidRPr="00CB79E7">
        <w:rPr>
          <w:i/>
        </w:rPr>
        <w:t xml:space="preserve"> on the Government to: </w:t>
      </w:r>
    </w:p>
    <w:p w:rsidR="00511D82" w:rsidRPr="00CB79E7" w:rsidRDefault="00511D82" w:rsidP="008B2A53">
      <w:pPr>
        <w:spacing w:before="120" w:after="120"/>
        <w:ind w:left="709" w:right="685"/>
        <w:rPr>
          <w:i/>
        </w:rPr>
      </w:pPr>
      <w:r w:rsidRPr="00CB79E7">
        <w:rPr>
          <w:i/>
        </w:rPr>
        <w:t xml:space="preserve">(a) undertake a review of ESL services including the Language Performance Rating cut off for full and partial support funding, with a view to raising the required level of English proficiency and the professional development and Directorate support services available to teachers; </w:t>
      </w:r>
    </w:p>
    <w:p w:rsidR="00511D82" w:rsidRPr="00CB79E7" w:rsidRDefault="00511D82" w:rsidP="008B2A53">
      <w:pPr>
        <w:spacing w:before="120" w:after="120"/>
        <w:ind w:left="709" w:right="685"/>
        <w:rPr>
          <w:i/>
        </w:rPr>
      </w:pPr>
      <w:r w:rsidRPr="00CB79E7">
        <w:rPr>
          <w:i/>
        </w:rPr>
        <w:t xml:space="preserve">(b) </w:t>
      </w:r>
      <w:proofErr w:type="gramStart"/>
      <w:r w:rsidRPr="00CB79E7">
        <w:rPr>
          <w:i/>
        </w:rPr>
        <w:t>in</w:t>
      </w:r>
      <w:proofErr w:type="gramEnd"/>
      <w:r w:rsidRPr="00CB79E7">
        <w:rPr>
          <w:i/>
        </w:rPr>
        <w:t xml:space="preserve"> conducting the review, consult with all relevant community stakeholders as well as ESL classroom teachers and their representatives; and </w:t>
      </w:r>
    </w:p>
    <w:p w:rsidR="00511D82" w:rsidRPr="00CB79E7" w:rsidRDefault="00511D82" w:rsidP="008B2A53">
      <w:pPr>
        <w:spacing w:before="120" w:after="120"/>
        <w:ind w:left="709" w:right="685"/>
        <w:rPr>
          <w:i/>
          <w:vertAlign w:val="subscript"/>
        </w:rPr>
      </w:pPr>
      <w:r w:rsidRPr="00CB79E7">
        <w:rPr>
          <w:i/>
        </w:rPr>
        <w:t xml:space="preserve">(c) </w:t>
      </w:r>
      <w:proofErr w:type="gramStart"/>
      <w:r w:rsidRPr="00CB79E7">
        <w:rPr>
          <w:i/>
        </w:rPr>
        <w:t>report</w:t>
      </w:r>
      <w:proofErr w:type="gramEnd"/>
      <w:r w:rsidRPr="00CB79E7">
        <w:rPr>
          <w:i/>
        </w:rPr>
        <w:t xml:space="preserve"> back to the Assembly by April 2012.”</w:t>
      </w:r>
      <w:r w:rsidRPr="00CB79E7">
        <w:rPr>
          <w:i/>
          <w:vertAlign w:val="superscript"/>
        </w:rPr>
        <w:footnoteReference w:id="3"/>
      </w:r>
    </w:p>
    <w:p w:rsidR="00511D82" w:rsidRPr="00DA4655" w:rsidRDefault="00511D82" w:rsidP="003B7C93">
      <w:pPr>
        <w:spacing w:before="240" w:after="120"/>
      </w:pPr>
      <w:r>
        <w:t>In response to the Legislative A</w:t>
      </w:r>
      <w:r w:rsidRPr="00DA4655">
        <w:t xml:space="preserve">ssembly request, an internal review of </w:t>
      </w:r>
      <w:r w:rsidR="00CB79E7">
        <w:t xml:space="preserve">EALD </w:t>
      </w:r>
      <w:r w:rsidRPr="00DA4655">
        <w:t>services was undertaken</w:t>
      </w:r>
      <w:r>
        <w:t xml:space="preserve"> by the Education and Training Directorate </w:t>
      </w:r>
      <w:r w:rsidRPr="00DA4655">
        <w:t>between January and March 2012.</w:t>
      </w:r>
    </w:p>
    <w:p w:rsidR="00511D82" w:rsidRPr="00DA4655" w:rsidRDefault="00511D82" w:rsidP="00511D82">
      <w:pPr>
        <w:spacing w:before="120" w:after="120"/>
      </w:pPr>
      <w:r w:rsidRPr="00DA4655">
        <w:t>The Review</w:t>
      </w:r>
      <w:r>
        <w:t>:</w:t>
      </w:r>
    </w:p>
    <w:p w:rsidR="00511D82" w:rsidRPr="00DA4655" w:rsidRDefault="00511D82" w:rsidP="00511D82">
      <w:pPr>
        <w:numPr>
          <w:ilvl w:val="0"/>
          <w:numId w:val="1"/>
        </w:numPr>
        <w:spacing w:before="120" w:after="120"/>
      </w:pPr>
      <w:r>
        <w:rPr>
          <w:rFonts w:eastAsia="Times New Roman" w:cs="Calibri"/>
        </w:rPr>
        <w:t xml:space="preserve">examined </w:t>
      </w:r>
      <w:r w:rsidRPr="00DA4655">
        <w:rPr>
          <w:rFonts w:eastAsia="Times New Roman" w:cs="Calibri"/>
        </w:rPr>
        <w:t>L</w:t>
      </w:r>
      <w:r>
        <w:rPr>
          <w:rFonts w:eastAsia="Times New Roman" w:cs="Calibri"/>
        </w:rPr>
        <w:t xml:space="preserve">anguage </w:t>
      </w:r>
      <w:r w:rsidRPr="00DA4655">
        <w:rPr>
          <w:rFonts w:eastAsia="Times New Roman" w:cs="Calibri"/>
        </w:rPr>
        <w:t>P</w:t>
      </w:r>
      <w:r>
        <w:rPr>
          <w:rFonts w:eastAsia="Times New Roman" w:cs="Calibri"/>
        </w:rPr>
        <w:t xml:space="preserve">roficiency </w:t>
      </w:r>
      <w:r w:rsidRPr="00DA4655">
        <w:rPr>
          <w:rFonts w:eastAsia="Times New Roman" w:cs="Calibri"/>
        </w:rPr>
        <w:t>R</w:t>
      </w:r>
      <w:r>
        <w:rPr>
          <w:rFonts w:eastAsia="Times New Roman" w:cs="Calibri"/>
        </w:rPr>
        <w:t>ating (LPR)</w:t>
      </w:r>
      <w:r w:rsidR="008B2A53">
        <w:rPr>
          <w:rFonts w:eastAsia="Times New Roman" w:cs="Calibri"/>
        </w:rPr>
        <w:t xml:space="preserve"> levels over the last five</w:t>
      </w:r>
      <w:r w:rsidRPr="00DA4655">
        <w:rPr>
          <w:rFonts w:eastAsia="Times New Roman" w:cs="Calibri"/>
        </w:rPr>
        <w:t xml:space="preserve"> years</w:t>
      </w:r>
      <w:r>
        <w:rPr>
          <w:rFonts w:eastAsia="Times New Roman" w:cs="Calibri"/>
        </w:rPr>
        <w:t>,</w:t>
      </w:r>
      <w:r w:rsidRPr="00DA4655">
        <w:rPr>
          <w:rFonts w:eastAsia="Times New Roman" w:cs="Calibri"/>
        </w:rPr>
        <w:t xml:space="preserve"> including subsequent levels of resourcing to schools</w:t>
      </w:r>
    </w:p>
    <w:p w:rsidR="00511D82" w:rsidRPr="00DA4655" w:rsidRDefault="00511D82" w:rsidP="00511D82">
      <w:pPr>
        <w:numPr>
          <w:ilvl w:val="0"/>
          <w:numId w:val="1"/>
        </w:numPr>
        <w:spacing w:before="120" w:after="120"/>
      </w:pPr>
      <w:r>
        <w:rPr>
          <w:rFonts w:eastAsia="Times New Roman" w:cs="Calibri"/>
        </w:rPr>
        <w:t>examined h</w:t>
      </w:r>
      <w:r w:rsidRPr="00DA4655">
        <w:rPr>
          <w:rFonts w:eastAsia="Times New Roman" w:cs="Calibri"/>
        </w:rPr>
        <w:t>ow the Directorate supports the professional learning needs of EALD teachers</w:t>
      </w:r>
    </w:p>
    <w:p w:rsidR="00511D82" w:rsidRPr="00DA4655" w:rsidRDefault="00511D82" w:rsidP="00511D82">
      <w:pPr>
        <w:numPr>
          <w:ilvl w:val="0"/>
          <w:numId w:val="1"/>
        </w:numPr>
        <w:spacing w:before="120" w:after="120"/>
        <w:rPr>
          <w:rFonts w:eastAsia="Times New Roman" w:cs="Calibri"/>
        </w:rPr>
      </w:pPr>
      <w:proofErr w:type="gramStart"/>
      <w:r>
        <w:rPr>
          <w:rFonts w:eastAsia="Times New Roman" w:cs="Calibri"/>
        </w:rPr>
        <w:t>c</w:t>
      </w:r>
      <w:r w:rsidRPr="00DA4655">
        <w:rPr>
          <w:rFonts w:eastAsia="Times New Roman" w:cs="Calibri"/>
        </w:rPr>
        <w:t>onsulted</w:t>
      </w:r>
      <w:proofErr w:type="gramEnd"/>
      <w:r w:rsidRPr="00DA4655">
        <w:rPr>
          <w:rFonts w:eastAsia="Times New Roman" w:cs="Calibri"/>
        </w:rPr>
        <w:t xml:space="preserve"> with all relevant community stakeholders, EALD classroom teachers and EALD classroom teacher representatives.</w:t>
      </w:r>
    </w:p>
    <w:p w:rsidR="00511D82" w:rsidRPr="00415A80" w:rsidRDefault="00511D82" w:rsidP="00511D82">
      <w:pPr>
        <w:spacing w:before="120" w:after="120"/>
      </w:pPr>
      <w:r w:rsidRPr="00415A80">
        <w:t>The Review included</w:t>
      </w:r>
      <w:r>
        <w:t>:</w:t>
      </w:r>
      <w:r w:rsidRPr="00415A80">
        <w:t xml:space="preserve"> </w:t>
      </w:r>
    </w:p>
    <w:p w:rsidR="00511D82" w:rsidRPr="00415A80" w:rsidRDefault="00511D82" w:rsidP="00511D82">
      <w:pPr>
        <w:numPr>
          <w:ilvl w:val="0"/>
          <w:numId w:val="2"/>
        </w:numPr>
        <w:spacing w:before="120" w:after="120"/>
      </w:pPr>
      <w:r>
        <w:t>a</w:t>
      </w:r>
      <w:r w:rsidRPr="00415A80">
        <w:t>n invitational stakeholder meeting</w:t>
      </w:r>
      <w:r>
        <w:t xml:space="preserve"> held on 27 February 2012, attended by 49 people, who provided input into key issues concerning provision of services, the LPR process and professional development support to teachers</w:t>
      </w:r>
    </w:p>
    <w:p w:rsidR="00511D82" w:rsidRPr="00415A80" w:rsidRDefault="00511D82" w:rsidP="00511D82">
      <w:pPr>
        <w:numPr>
          <w:ilvl w:val="0"/>
          <w:numId w:val="2"/>
        </w:numPr>
        <w:spacing w:before="120" w:after="120"/>
      </w:pPr>
      <w:r>
        <w:t>a</w:t>
      </w:r>
      <w:r w:rsidRPr="00415A80">
        <w:t>n investigation of services currently provided by the Directorate</w:t>
      </w:r>
    </w:p>
    <w:p w:rsidR="00511D82" w:rsidRPr="00415A80" w:rsidRDefault="00511D82" w:rsidP="00511D82">
      <w:pPr>
        <w:numPr>
          <w:ilvl w:val="0"/>
          <w:numId w:val="2"/>
        </w:numPr>
        <w:spacing w:before="120" w:after="120"/>
      </w:pPr>
      <w:r>
        <w:t>a</w:t>
      </w:r>
      <w:r w:rsidRPr="00415A80">
        <w:t>n a</w:t>
      </w:r>
      <w:r w:rsidR="008B2A53">
        <w:t>nalysis of EALD enrolment over five</w:t>
      </w:r>
      <w:r w:rsidRPr="00415A80">
        <w:t xml:space="preserve"> years</w:t>
      </w:r>
    </w:p>
    <w:p w:rsidR="00511D82" w:rsidRPr="00415A80" w:rsidRDefault="00511D82" w:rsidP="00511D82">
      <w:pPr>
        <w:numPr>
          <w:ilvl w:val="0"/>
          <w:numId w:val="2"/>
        </w:numPr>
        <w:spacing w:before="120" w:after="120"/>
      </w:pPr>
      <w:r>
        <w:t>a</w:t>
      </w:r>
      <w:r w:rsidRPr="00415A80">
        <w:t>n analysis of EALD funding</w:t>
      </w:r>
      <w:r w:rsidR="008B2A53">
        <w:t xml:space="preserve"> and resource allocations over five</w:t>
      </w:r>
      <w:r w:rsidRPr="00415A80">
        <w:t xml:space="preserve"> years </w:t>
      </w:r>
    </w:p>
    <w:p w:rsidR="00511D82" w:rsidRPr="004D36D5" w:rsidRDefault="00511D82" w:rsidP="00511D82">
      <w:pPr>
        <w:spacing w:before="120" w:after="120"/>
        <w:rPr>
          <w:rFonts w:eastAsia="Times New Roman" w:cs="Calibri"/>
        </w:rPr>
      </w:pPr>
      <w:r w:rsidRPr="004D36D5">
        <w:rPr>
          <w:rFonts w:eastAsia="Times New Roman" w:cs="Calibri"/>
        </w:rPr>
        <w:t>A number of individual submissions from stakeholders were accepted as part of the Review process.</w:t>
      </w:r>
    </w:p>
    <w:p w:rsidR="00511D82" w:rsidRPr="00DA4655" w:rsidRDefault="00511D82" w:rsidP="00511D82">
      <w:pPr>
        <w:spacing w:before="120" w:after="120"/>
      </w:pPr>
      <w:r w:rsidRPr="00DA4655">
        <w:rPr>
          <w:rFonts w:eastAsia="Times New Roman"/>
        </w:rPr>
        <w:t xml:space="preserve">The terminology English as a Second Language (ESL) and </w:t>
      </w:r>
      <w:r w:rsidRPr="00DA4655">
        <w:t>English as an Additional Language or Dialect (EALD) are used interchangeably in this document. EALD reflects the name change since the introduction of the Australian Curriculum.</w:t>
      </w:r>
    </w:p>
    <w:p w:rsidR="0004283D" w:rsidRPr="007F7514" w:rsidRDefault="00711BBE" w:rsidP="00C13B7C">
      <w:pPr>
        <w:pStyle w:val="Heading2"/>
      </w:pPr>
      <w:r>
        <w:rPr>
          <w:rFonts w:eastAsia="Times New Roman"/>
        </w:rPr>
        <w:br w:type="page"/>
      </w:r>
      <w:bookmarkStart w:id="13" w:name="_Toc322083101"/>
      <w:r w:rsidR="006F711E">
        <w:rPr>
          <w:rFonts w:eastAsia="Times New Roman"/>
        </w:rPr>
        <w:t xml:space="preserve">2. </w:t>
      </w:r>
      <w:r w:rsidR="00BA5F57" w:rsidRPr="007F7514">
        <w:t xml:space="preserve">SUPPORT </w:t>
      </w:r>
      <w:r w:rsidR="00927656">
        <w:t xml:space="preserve">FOR EALD </w:t>
      </w:r>
      <w:r w:rsidR="00BA5F57" w:rsidRPr="007F7514">
        <w:t>STUDENTS</w:t>
      </w:r>
      <w:r w:rsidR="0004283D" w:rsidRPr="007F7514">
        <w:t xml:space="preserve"> IN ACT PUBLIC SCHOOLS</w:t>
      </w:r>
      <w:bookmarkEnd w:id="13"/>
      <w:r w:rsidR="0004283D" w:rsidRPr="007F7514">
        <w:t xml:space="preserve">  </w:t>
      </w:r>
    </w:p>
    <w:bookmarkEnd w:id="5"/>
    <w:bookmarkEnd w:id="6"/>
    <w:bookmarkEnd w:id="7"/>
    <w:bookmarkEnd w:id="8"/>
    <w:p w:rsidR="00E45D2D" w:rsidRDefault="00EB0A77" w:rsidP="00504B61">
      <w:pPr>
        <w:spacing w:before="120" w:after="120"/>
      </w:pPr>
      <w:r w:rsidRPr="00DA4655">
        <w:t>There is a long history of support for</w:t>
      </w:r>
      <w:r w:rsidR="00BE103B" w:rsidRPr="00DA4655">
        <w:rPr>
          <w:rFonts w:cs="Calibri"/>
          <w:i/>
        </w:rPr>
        <w:t xml:space="preserve"> </w:t>
      </w:r>
      <w:r w:rsidR="00BE103B" w:rsidRPr="00DA4655">
        <w:rPr>
          <w:rFonts w:cs="Calibri"/>
        </w:rPr>
        <w:t>English as an Additional Language or Dialect</w:t>
      </w:r>
      <w:r w:rsidRPr="00DA4655">
        <w:t xml:space="preserve"> </w:t>
      </w:r>
      <w:r w:rsidR="00BE103B" w:rsidRPr="00DA4655">
        <w:t>(</w:t>
      </w:r>
      <w:r w:rsidRPr="00DA4655">
        <w:t>EALD</w:t>
      </w:r>
      <w:r w:rsidR="00BE103B" w:rsidRPr="00DA4655">
        <w:t xml:space="preserve">) </w:t>
      </w:r>
      <w:r w:rsidRPr="00DA4655">
        <w:t>students</w:t>
      </w:r>
      <w:r w:rsidR="008B2A53">
        <w:t>,</w:t>
      </w:r>
      <w:r w:rsidRPr="00DA4655">
        <w:t xml:space="preserve"> extending back to the establishment of the</w:t>
      </w:r>
      <w:r w:rsidR="00DF1934" w:rsidRPr="00DA4655">
        <w:t xml:space="preserve"> ACT public education system.</w:t>
      </w:r>
      <w:r w:rsidRPr="00DA4655">
        <w:t xml:space="preserve">  </w:t>
      </w:r>
      <w:r w:rsidR="00BA5F57">
        <w:t>The particular needs of EALD students are addressed in the Directorate EALD Policy</w:t>
      </w:r>
      <w:r w:rsidR="009250A8">
        <w:t xml:space="preserve"> 2011</w:t>
      </w:r>
      <w:r w:rsidR="008B2A53">
        <w:t>,</w:t>
      </w:r>
      <w:r w:rsidR="00BA5F57">
        <w:t xml:space="preserve"> which states that</w:t>
      </w:r>
      <w:r w:rsidR="008B2A53">
        <w:t>:</w:t>
      </w:r>
      <w:r w:rsidR="008B2A53">
        <w:br/>
      </w:r>
    </w:p>
    <w:p w:rsidR="009250A8" w:rsidRDefault="00EB0A77" w:rsidP="008B2A53">
      <w:pPr>
        <w:spacing w:before="120" w:after="120"/>
        <w:ind w:left="709" w:right="685"/>
        <w:rPr>
          <w:rFonts w:cs="Calibri"/>
        </w:rPr>
      </w:pPr>
      <w:r w:rsidRPr="00DA4655">
        <w:t>“</w:t>
      </w:r>
      <w:r w:rsidRPr="00DA4655">
        <w:rPr>
          <w:rFonts w:cs="Calibri"/>
          <w:i/>
        </w:rPr>
        <w:t>English as an Additional Language or Dialect (EALD) learners have the right to equality of access to the school curriculum in a productive learning environment that is respectful of students’ different cultures, experiences and learning need</w:t>
      </w:r>
      <w:r w:rsidR="00FE4774" w:rsidRPr="00DA4655">
        <w:rPr>
          <w:rFonts w:cs="Calibri"/>
          <w:i/>
        </w:rPr>
        <w:t>.</w:t>
      </w:r>
      <w:r w:rsidR="007F7514">
        <w:rPr>
          <w:rFonts w:cs="Calibri"/>
        </w:rPr>
        <w:t>”</w:t>
      </w:r>
      <w:r w:rsidR="007F7514">
        <w:rPr>
          <w:rStyle w:val="FootnoteReference"/>
          <w:rFonts w:cs="Calibri"/>
        </w:rPr>
        <w:footnoteReference w:id="4"/>
      </w:r>
      <w:r w:rsidR="00BA5F57">
        <w:rPr>
          <w:rFonts w:cs="Calibri"/>
        </w:rPr>
        <w:t xml:space="preserve"> </w:t>
      </w:r>
    </w:p>
    <w:p w:rsidR="009250A8" w:rsidRDefault="00BA5F57" w:rsidP="008B2A53">
      <w:pPr>
        <w:spacing w:before="120" w:after="120"/>
        <w:ind w:left="709" w:right="685"/>
        <w:rPr>
          <w:rFonts w:cs="Calibri"/>
        </w:rPr>
      </w:pPr>
      <w:r>
        <w:rPr>
          <w:rFonts w:cs="Calibri"/>
        </w:rPr>
        <w:t xml:space="preserve">This support reflects the commitment in Everyone Matters, </w:t>
      </w:r>
      <w:r w:rsidR="004F6389" w:rsidRPr="00DA4655">
        <w:rPr>
          <w:rFonts w:cs="Calibri"/>
        </w:rPr>
        <w:t>the</w:t>
      </w:r>
      <w:r w:rsidR="005652EE" w:rsidRPr="00DA4655">
        <w:rPr>
          <w:rFonts w:cs="Calibri"/>
        </w:rPr>
        <w:t xml:space="preserve"> Education </w:t>
      </w:r>
      <w:r w:rsidR="00522A11">
        <w:rPr>
          <w:rFonts w:cs="Calibri"/>
        </w:rPr>
        <w:t>and</w:t>
      </w:r>
      <w:r w:rsidR="00522A11" w:rsidRPr="00DA4655">
        <w:rPr>
          <w:rFonts w:cs="Calibri"/>
        </w:rPr>
        <w:t xml:space="preserve"> </w:t>
      </w:r>
      <w:r w:rsidR="005652EE" w:rsidRPr="00DA4655">
        <w:rPr>
          <w:rFonts w:cs="Calibri"/>
        </w:rPr>
        <w:t>Training Dir</w:t>
      </w:r>
      <w:r w:rsidR="005B2A68" w:rsidRPr="00DA4655">
        <w:rPr>
          <w:rFonts w:cs="Calibri"/>
        </w:rPr>
        <w:t>ectorate Strategic Plan 2010-</w:t>
      </w:r>
      <w:r w:rsidR="005652EE" w:rsidRPr="00DA4655">
        <w:rPr>
          <w:rFonts w:cs="Calibri"/>
        </w:rPr>
        <w:t xml:space="preserve">13 where a core goal is to </w:t>
      </w:r>
    </w:p>
    <w:p w:rsidR="005652EE" w:rsidRPr="008B2A53" w:rsidRDefault="005652EE" w:rsidP="009250A8">
      <w:pPr>
        <w:spacing w:before="120" w:after="120"/>
        <w:ind w:left="1440" w:right="685"/>
        <w:rPr>
          <w:b/>
        </w:rPr>
      </w:pPr>
      <w:r w:rsidRPr="00DA4655">
        <w:rPr>
          <w:rFonts w:cs="Calibri"/>
          <w:i/>
        </w:rPr>
        <w:t xml:space="preserve">“... </w:t>
      </w:r>
      <w:proofErr w:type="gramStart"/>
      <w:r w:rsidRPr="00DA4655">
        <w:rPr>
          <w:i/>
        </w:rPr>
        <w:t>ensure</w:t>
      </w:r>
      <w:proofErr w:type="gramEnd"/>
      <w:r w:rsidRPr="00DA4655">
        <w:rPr>
          <w:i/>
        </w:rPr>
        <w:t xml:space="preserve"> students succeed through quality teaching that engages them and supports the development of capabilities for life.”</w:t>
      </w:r>
      <w:r w:rsidRPr="00DA4655">
        <w:rPr>
          <w:rStyle w:val="FootnoteReference"/>
          <w:i/>
        </w:rPr>
        <w:footnoteReference w:id="5"/>
      </w:r>
      <w:r w:rsidR="008B2A53">
        <w:rPr>
          <w:i/>
        </w:rPr>
        <w:br/>
      </w:r>
    </w:p>
    <w:p w:rsidR="00F9527B" w:rsidRPr="00DA4655" w:rsidRDefault="00F9527B" w:rsidP="00504B61">
      <w:pPr>
        <w:spacing w:before="120" w:after="120"/>
        <w:rPr>
          <w:rFonts w:cs="Calibri"/>
          <w:bCs/>
        </w:rPr>
      </w:pPr>
      <w:r w:rsidRPr="00DA4655">
        <w:rPr>
          <w:rFonts w:cs="Calibri"/>
        </w:rPr>
        <w:t xml:space="preserve">English language proficiency is a key determinant of success within our education system and for social and economic participation in the broader Australian community. Australian society is enhanced by EALD students having access to EALD programs that enable them to develop </w:t>
      </w:r>
      <w:r w:rsidR="009250A8">
        <w:rPr>
          <w:rFonts w:cs="Calibri"/>
        </w:rPr>
        <w:t xml:space="preserve">their language skills and </w:t>
      </w:r>
      <w:r w:rsidRPr="00DA4655">
        <w:rPr>
          <w:rFonts w:cs="Calibri"/>
        </w:rPr>
        <w:t>an understanding of attitudes and beliefs regarding Australian society and citizenship. With adequate English language skills, students are better prepared to contribute to society.</w:t>
      </w:r>
    </w:p>
    <w:p w:rsidR="00C71C8C" w:rsidRPr="00DA4655" w:rsidRDefault="00F9527B" w:rsidP="00504B61">
      <w:pPr>
        <w:spacing w:before="120" w:after="120"/>
        <w:rPr>
          <w:rFonts w:cs="Calibri"/>
        </w:rPr>
      </w:pPr>
      <w:r w:rsidRPr="00DA4655">
        <w:rPr>
          <w:rFonts w:cs="Calibri"/>
        </w:rPr>
        <w:t>Cognitive, interpersonal and cultural processes underpin the learning of a second or additional language. These are separate from those that underpin learning literacy. Students for whom English is a second or additional language demonstrate a wide range of English language proficiency</w:t>
      </w:r>
      <w:r w:rsidR="00C60280">
        <w:rPr>
          <w:rFonts w:cs="Calibri"/>
        </w:rPr>
        <w:t>,</w:t>
      </w:r>
      <w:r w:rsidRPr="00DA4655">
        <w:rPr>
          <w:rFonts w:cs="Calibri"/>
        </w:rPr>
        <w:t xml:space="preserve"> and progress through well-documented stages of English acquisition. While they are learning English, such students need explicit English language support to enable them to achieve </w:t>
      </w:r>
      <w:r w:rsidR="005652EE" w:rsidRPr="00DA4655">
        <w:rPr>
          <w:rFonts w:cs="Calibri"/>
        </w:rPr>
        <w:t>similar</w:t>
      </w:r>
      <w:r w:rsidRPr="00DA4655">
        <w:rPr>
          <w:rFonts w:cs="Calibri"/>
        </w:rPr>
        <w:t xml:space="preserve"> academic levels as their peers for whom English is a first language.</w:t>
      </w:r>
      <w:r w:rsidR="0004283D" w:rsidRPr="00DA4655">
        <w:rPr>
          <w:rFonts w:cs="Calibri"/>
        </w:rPr>
        <w:t xml:space="preserve"> The </w:t>
      </w:r>
      <w:r w:rsidR="00E15EE2" w:rsidRPr="00DA4655">
        <w:rPr>
          <w:rFonts w:cs="Calibri"/>
        </w:rPr>
        <w:t xml:space="preserve">level of </w:t>
      </w:r>
      <w:r w:rsidR="0004283D" w:rsidRPr="00DA4655">
        <w:rPr>
          <w:rFonts w:cs="Calibri"/>
        </w:rPr>
        <w:t>support</w:t>
      </w:r>
      <w:r w:rsidR="00E15EE2" w:rsidRPr="00DA4655">
        <w:rPr>
          <w:rFonts w:cs="Calibri"/>
        </w:rPr>
        <w:t xml:space="preserve"> is dependent</w:t>
      </w:r>
      <w:r w:rsidR="0004283D" w:rsidRPr="00DA4655">
        <w:rPr>
          <w:rFonts w:cs="Calibri"/>
        </w:rPr>
        <w:t xml:space="preserve"> on the level of English language proficien</w:t>
      </w:r>
      <w:r w:rsidR="00E15EE2" w:rsidRPr="00DA4655">
        <w:rPr>
          <w:rFonts w:cs="Calibri"/>
        </w:rPr>
        <w:t>cy demonstrated by each student</w:t>
      </w:r>
      <w:r w:rsidR="0004283D" w:rsidRPr="00DA4655">
        <w:rPr>
          <w:rFonts w:cs="Calibri"/>
        </w:rPr>
        <w:t xml:space="preserve">. </w:t>
      </w:r>
      <w:r w:rsidR="004D033D" w:rsidRPr="00DA4655">
        <w:rPr>
          <w:rFonts w:cs="Calibri"/>
        </w:rPr>
        <w:t>In</w:t>
      </w:r>
      <w:r w:rsidR="0004283D" w:rsidRPr="00DA4655">
        <w:rPr>
          <w:rFonts w:cs="Calibri"/>
        </w:rPr>
        <w:t xml:space="preserve"> the ACT public school system</w:t>
      </w:r>
      <w:r w:rsidR="00C60280">
        <w:rPr>
          <w:rFonts w:cs="Calibri"/>
        </w:rPr>
        <w:t>,</w:t>
      </w:r>
      <w:r w:rsidR="004D033D" w:rsidRPr="00DA4655">
        <w:rPr>
          <w:rFonts w:cs="Calibri"/>
        </w:rPr>
        <w:t xml:space="preserve"> a</w:t>
      </w:r>
      <w:r w:rsidR="00C71C8C" w:rsidRPr="00DA4655">
        <w:rPr>
          <w:rFonts w:cs="Calibri"/>
        </w:rPr>
        <w:t xml:space="preserve"> comprehensive assessment process is used to determine English language proficiency.</w:t>
      </w:r>
      <w:r w:rsidR="004D033D" w:rsidRPr="00DA4655">
        <w:rPr>
          <w:rFonts w:cs="Calibri"/>
        </w:rPr>
        <w:t xml:space="preserve"> EALD support is provided through both mainstream and targeted programs in schools.</w:t>
      </w:r>
    </w:p>
    <w:p w:rsidR="009250A8" w:rsidRDefault="009250A8" w:rsidP="00C13B7C">
      <w:pPr>
        <w:pStyle w:val="Heading2"/>
      </w:pPr>
    </w:p>
    <w:p w:rsidR="00292A63" w:rsidRPr="00000285" w:rsidRDefault="009250A8" w:rsidP="00C13B7C">
      <w:pPr>
        <w:pStyle w:val="Heading2"/>
      </w:pPr>
      <w:bookmarkStart w:id="14" w:name="_Toc322080306"/>
      <w:bookmarkStart w:id="15" w:name="_Toc322083102"/>
      <w:r>
        <w:t>2.1 The ACT Literacy and Numeracy Strategy</w:t>
      </w:r>
      <w:bookmarkEnd w:id="14"/>
      <w:bookmarkEnd w:id="15"/>
      <w:r w:rsidR="00292A63" w:rsidRPr="00000285">
        <w:t xml:space="preserve"> </w:t>
      </w:r>
    </w:p>
    <w:p w:rsidR="00E45D2D" w:rsidRDefault="008956FE" w:rsidP="00504B61">
      <w:pPr>
        <w:spacing w:before="120" w:after="120"/>
        <w:rPr>
          <w:i/>
        </w:rPr>
      </w:pPr>
      <w:r w:rsidRPr="00292A63">
        <w:t xml:space="preserve">The </w:t>
      </w:r>
      <w:r w:rsidRPr="00CF2B38">
        <w:rPr>
          <w:i/>
        </w:rPr>
        <w:t xml:space="preserve">ACT Literacy and </w:t>
      </w:r>
      <w:r w:rsidR="00292A63" w:rsidRPr="00CF2B38">
        <w:rPr>
          <w:i/>
        </w:rPr>
        <w:t>Numeracy Strategy</w:t>
      </w:r>
      <w:r w:rsidRPr="00CF2B38">
        <w:rPr>
          <w:i/>
        </w:rPr>
        <w:t xml:space="preserve"> 2009</w:t>
      </w:r>
      <w:r w:rsidR="00292A63" w:rsidRPr="00CF2B38">
        <w:rPr>
          <w:i/>
        </w:rPr>
        <w:t>-2013</w:t>
      </w:r>
      <w:r w:rsidR="00292A63">
        <w:t xml:space="preserve"> </w:t>
      </w:r>
      <w:r w:rsidR="00E45D2D" w:rsidRPr="00DA4655">
        <w:t>provide</w:t>
      </w:r>
      <w:r w:rsidR="00E45D2D">
        <w:t xml:space="preserve">s </w:t>
      </w:r>
      <w:r w:rsidR="00E45D2D" w:rsidRPr="00DA4655">
        <w:t>a</w:t>
      </w:r>
      <w:r w:rsidRPr="00DA4655">
        <w:t xml:space="preserve"> strategic direction for literacy and numeracy in </w:t>
      </w:r>
      <w:r w:rsidR="00E45D2D" w:rsidRPr="00DA4655">
        <w:t xml:space="preserve">schools </w:t>
      </w:r>
      <w:r w:rsidR="00E45D2D">
        <w:t>and</w:t>
      </w:r>
      <w:r w:rsidR="00292A63">
        <w:t xml:space="preserve"> is inclusive of the needs of EALD students. </w:t>
      </w:r>
      <w:r w:rsidRPr="00DA4655">
        <w:t xml:space="preserve">The Strategy’s actions are underpinned by the premise that </w:t>
      </w:r>
      <w:r w:rsidR="00E15EE2" w:rsidRPr="00DA4655">
        <w:t>the quality</w:t>
      </w:r>
      <w:r w:rsidRPr="00DA4655">
        <w:t xml:space="preserve"> of teaching is the largest in-school determinant of variation in student achievement. There is a need to continue to strengthen teachers’ knowledge and skills about how students acquire and develop proficiency in literacy and numeracy</w:t>
      </w:r>
      <w:r w:rsidRPr="00DA4655">
        <w:rPr>
          <w:i/>
        </w:rPr>
        <w:t xml:space="preserve">. </w:t>
      </w:r>
    </w:p>
    <w:p w:rsidR="008956FE" w:rsidRPr="00E45D2D" w:rsidRDefault="008956FE" w:rsidP="00CF2B38">
      <w:pPr>
        <w:spacing w:before="120" w:after="120"/>
        <w:ind w:left="709" w:right="685" w:firstLine="11"/>
      </w:pPr>
      <w:r w:rsidRPr="00DA4655">
        <w:rPr>
          <w:i/>
        </w:rPr>
        <w:t>“All students, regardless of their diverse backgrounds, must be supported to progress to higher standards in literacy and numeracy as they move through school. The Strategy provides the strategic direction to guide school leaders and teachers in targeting and</w:t>
      </w:r>
      <w:r w:rsidR="00401313">
        <w:rPr>
          <w:i/>
        </w:rPr>
        <w:t xml:space="preserve"> </w:t>
      </w:r>
      <w:r w:rsidRPr="00DA4655">
        <w:rPr>
          <w:i/>
        </w:rPr>
        <w:t>improving the literacy and numeracy outcomes of all their students”</w:t>
      </w:r>
      <w:r w:rsidRPr="00DA4655">
        <w:rPr>
          <w:rStyle w:val="FootnoteReference"/>
          <w:i/>
        </w:rPr>
        <w:footnoteReference w:id="6"/>
      </w:r>
      <w:r w:rsidRPr="00DA4655">
        <w:rPr>
          <w:i/>
        </w:rPr>
        <w:t>.</w:t>
      </w:r>
      <w:r w:rsidR="00CF2B38">
        <w:rPr>
          <w:i/>
        </w:rPr>
        <w:br/>
      </w:r>
    </w:p>
    <w:p w:rsidR="00E45D2D" w:rsidRDefault="008956FE" w:rsidP="00CF2B38">
      <w:pPr>
        <w:spacing w:before="120" w:after="120"/>
        <w:ind w:right="685"/>
      </w:pPr>
      <w:r w:rsidRPr="00DA4655">
        <w:t xml:space="preserve">The needs of EALD students are addressed in the Strategy </w:t>
      </w:r>
      <w:r w:rsidR="00E45D2D">
        <w:t xml:space="preserve">with a specific focus on the provision of </w:t>
      </w:r>
    </w:p>
    <w:p w:rsidR="008956FE" w:rsidRPr="00DA4655" w:rsidRDefault="008956FE" w:rsidP="00CF2B38">
      <w:pPr>
        <w:spacing w:before="120" w:after="120"/>
        <w:ind w:left="709" w:right="685"/>
      </w:pPr>
      <w:r w:rsidRPr="00DA4655">
        <w:t>“..</w:t>
      </w:r>
      <w:r w:rsidR="00E45D2D">
        <w:t>.</w:t>
      </w:r>
      <w:r w:rsidRPr="00DA4655">
        <w:rPr>
          <w:i/>
        </w:rPr>
        <w:t xml:space="preserve">targeted support for Indigenous students, students from disadvantaged backgrounds, </w:t>
      </w:r>
      <w:r w:rsidRPr="00DA4655">
        <w:rPr>
          <w:i/>
          <w:u w:val="single"/>
        </w:rPr>
        <w:t>students from culturally and linguistically diverse backgrounds</w:t>
      </w:r>
      <w:r w:rsidRPr="00DA4655">
        <w:rPr>
          <w:i/>
        </w:rPr>
        <w:t xml:space="preserve"> and gifted and talented students</w:t>
      </w:r>
      <w:r w:rsidRPr="00DA4655">
        <w:rPr>
          <w:rFonts w:ascii="Swiss721BT-LightCondensed" w:hAnsi="Swiss721BT-LightCondensed" w:cs="Swiss721BT-LightCondensed"/>
          <w:lang w:eastAsia="en-AU"/>
        </w:rPr>
        <w:t>.</w:t>
      </w:r>
      <w:r w:rsidRPr="00DA4655">
        <w:t>”</w:t>
      </w:r>
      <w:r w:rsidR="004B758F">
        <w:rPr>
          <w:rStyle w:val="FootnoteReference"/>
        </w:rPr>
        <w:footnoteReference w:id="7"/>
      </w:r>
    </w:p>
    <w:p w:rsidR="009250A8" w:rsidRDefault="009250A8" w:rsidP="00C13B7C">
      <w:pPr>
        <w:pStyle w:val="Heading2"/>
      </w:pPr>
      <w:bookmarkStart w:id="16" w:name="_Toc321213902"/>
      <w:bookmarkStart w:id="17" w:name="_Toc321224496"/>
    </w:p>
    <w:p w:rsidR="004D7A15" w:rsidRPr="00511D82" w:rsidRDefault="009250A8" w:rsidP="00C13B7C">
      <w:pPr>
        <w:pStyle w:val="Heading2"/>
      </w:pPr>
      <w:bookmarkStart w:id="18" w:name="_Toc322080307"/>
      <w:bookmarkStart w:id="19" w:name="_Toc322083103"/>
      <w:r>
        <w:rPr>
          <w:rFonts w:eastAsia="Times New Roman"/>
        </w:rPr>
        <w:t>2</w:t>
      </w:r>
      <w:r w:rsidR="00E45D2D">
        <w:rPr>
          <w:rFonts w:eastAsia="Times New Roman"/>
        </w:rPr>
        <w:t>.2</w:t>
      </w:r>
      <w:r w:rsidR="005E5DB6">
        <w:rPr>
          <w:rFonts w:eastAsia="Times New Roman"/>
        </w:rPr>
        <w:t xml:space="preserve"> </w:t>
      </w:r>
      <w:bookmarkStart w:id="20" w:name="_Toc318813918"/>
      <w:bookmarkStart w:id="21" w:name="_Toc318816201"/>
      <w:bookmarkStart w:id="22" w:name="_Toc318816229"/>
      <w:bookmarkStart w:id="23" w:name="_Toc320010926"/>
      <w:r w:rsidR="004D7A15" w:rsidRPr="00DA4655">
        <w:t xml:space="preserve">EALD </w:t>
      </w:r>
      <w:bookmarkEnd w:id="16"/>
      <w:bookmarkEnd w:id="17"/>
      <w:r>
        <w:t>Plan, Policy and Procedures</w:t>
      </w:r>
      <w:bookmarkEnd w:id="18"/>
      <w:bookmarkEnd w:id="19"/>
    </w:p>
    <w:p w:rsidR="00963B64" w:rsidRDefault="00E45D2D" w:rsidP="00504B61">
      <w:pPr>
        <w:spacing w:before="120" w:after="120"/>
        <w:rPr>
          <w:rFonts w:cs="Calibri"/>
        </w:rPr>
      </w:pPr>
      <w:r>
        <w:rPr>
          <w:rFonts w:cs="Calibri"/>
        </w:rPr>
        <w:t>In 20</w:t>
      </w:r>
      <w:r w:rsidR="00227FA5">
        <w:rPr>
          <w:rFonts w:cs="Calibri"/>
        </w:rPr>
        <w:t>11</w:t>
      </w:r>
      <w:r w:rsidR="00511D82">
        <w:rPr>
          <w:rFonts w:cs="Calibri"/>
        </w:rPr>
        <w:t>,</w:t>
      </w:r>
      <w:r w:rsidR="00802913" w:rsidRPr="00DA4655">
        <w:rPr>
          <w:rFonts w:cs="Calibri"/>
        </w:rPr>
        <w:t xml:space="preserve"> </w:t>
      </w:r>
      <w:r>
        <w:rPr>
          <w:rFonts w:cs="Calibri"/>
        </w:rPr>
        <w:t xml:space="preserve">the Directorate developed an </w:t>
      </w:r>
      <w:r w:rsidRPr="00511D82">
        <w:rPr>
          <w:rFonts w:cs="Calibri"/>
          <w:i/>
        </w:rPr>
        <w:t>ESL Action Plan</w:t>
      </w:r>
      <w:r w:rsidR="00511D82" w:rsidRPr="00511D82">
        <w:rPr>
          <w:rFonts w:cs="Calibri"/>
          <w:i/>
        </w:rPr>
        <w:t xml:space="preserve"> 2011-2013</w:t>
      </w:r>
      <w:r w:rsidR="00511D82">
        <w:rPr>
          <w:rFonts w:cs="Calibri"/>
        </w:rPr>
        <w:t xml:space="preserve"> (Appendix </w:t>
      </w:r>
      <w:r w:rsidR="00522A11">
        <w:rPr>
          <w:rFonts w:cs="Calibri"/>
        </w:rPr>
        <w:t>2</w:t>
      </w:r>
      <w:r w:rsidR="00511D82">
        <w:rPr>
          <w:rFonts w:cs="Calibri"/>
        </w:rPr>
        <w:t>)</w:t>
      </w:r>
      <w:r w:rsidR="00802913" w:rsidRPr="00DA4655">
        <w:rPr>
          <w:rFonts w:cs="Calibri"/>
        </w:rPr>
        <w:t>. The ACT EALD Policy was updated in 2011 to be in line with the Australian Curriculum</w:t>
      </w:r>
      <w:r>
        <w:rPr>
          <w:rFonts w:cs="Calibri"/>
        </w:rPr>
        <w:t>.  A</w:t>
      </w:r>
      <w:r w:rsidR="004D7A15" w:rsidRPr="00DA4655">
        <w:rPr>
          <w:rFonts w:cs="Calibri"/>
        </w:rPr>
        <w:t xml:space="preserve">n </w:t>
      </w:r>
      <w:r w:rsidR="00A003FE" w:rsidRPr="00DA4655">
        <w:rPr>
          <w:rFonts w:cs="Calibri"/>
        </w:rPr>
        <w:t xml:space="preserve">accompanying </w:t>
      </w:r>
      <w:r w:rsidR="001220E4" w:rsidRPr="00DA4655">
        <w:rPr>
          <w:i/>
        </w:rPr>
        <w:t xml:space="preserve">English as an Additional Language or Dialect </w:t>
      </w:r>
      <w:r w:rsidR="001220E4">
        <w:rPr>
          <w:i/>
        </w:rPr>
        <w:t xml:space="preserve">Program Procedural </w:t>
      </w:r>
      <w:r w:rsidR="001220E4" w:rsidRPr="00DA4655">
        <w:rPr>
          <w:i/>
        </w:rPr>
        <w:t>Manual</w:t>
      </w:r>
      <w:r w:rsidR="004D7A15" w:rsidRPr="00CB4DEC">
        <w:rPr>
          <w:rFonts w:cs="Calibri"/>
          <w:i/>
        </w:rPr>
        <w:t xml:space="preserve"> </w:t>
      </w:r>
      <w:r w:rsidR="00F740A5">
        <w:rPr>
          <w:rStyle w:val="FootnoteReference"/>
          <w:rFonts w:cs="Calibri"/>
        </w:rPr>
        <w:footnoteReference w:id="8"/>
      </w:r>
      <w:r w:rsidRPr="00DA4655">
        <w:rPr>
          <w:rFonts w:cs="Calibri"/>
        </w:rPr>
        <w:t xml:space="preserve"> was</w:t>
      </w:r>
      <w:r w:rsidR="004D7A15" w:rsidRPr="00DA4655">
        <w:rPr>
          <w:rFonts w:cs="Calibri"/>
        </w:rPr>
        <w:t xml:space="preserve"> published to support schools </w:t>
      </w:r>
      <w:r>
        <w:rPr>
          <w:rFonts w:cs="Calibri"/>
        </w:rPr>
        <w:t xml:space="preserve">and centres </w:t>
      </w:r>
      <w:r w:rsidR="004D7A15" w:rsidRPr="00DA4655">
        <w:rPr>
          <w:rFonts w:cs="Calibri"/>
        </w:rPr>
        <w:t xml:space="preserve">with the implementation of effective programs for EALD students. </w:t>
      </w:r>
      <w:r w:rsidR="00203AE6">
        <w:rPr>
          <w:rFonts w:cs="Calibri"/>
        </w:rPr>
        <w:t>The Manual</w:t>
      </w:r>
      <w:r w:rsidR="004D7A15" w:rsidRPr="00DA4655">
        <w:rPr>
          <w:rFonts w:cs="Calibri"/>
        </w:rPr>
        <w:t xml:space="preserve"> </w:t>
      </w:r>
      <w:r w:rsidR="00203AE6">
        <w:rPr>
          <w:rFonts w:cs="Calibri"/>
        </w:rPr>
        <w:t>provides advice and information for EALD teachers, mainstream teachers, principals and school administrative staff in both IECs and mainstream schools on all aspects related to EALD student enrolment, identification, referral process, translator services, EALD Census, curriculum, assessment, reporting, resource allocation and the roles and responsibilities of all school based Directorate staff.</w:t>
      </w:r>
    </w:p>
    <w:p w:rsidR="00802B39" w:rsidRDefault="00511D82" w:rsidP="00504B61">
      <w:pPr>
        <w:spacing w:before="120" w:after="120"/>
        <w:rPr>
          <w:rFonts w:cs="Calibri"/>
        </w:rPr>
      </w:pPr>
      <w:r>
        <w:rPr>
          <w:rFonts w:cs="Calibri"/>
        </w:rPr>
        <w:t>The Action Plan identi</w:t>
      </w:r>
      <w:r w:rsidR="00802B39">
        <w:rPr>
          <w:rFonts w:cs="Calibri"/>
        </w:rPr>
        <w:t>fies three strategic priorities:</w:t>
      </w:r>
    </w:p>
    <w:p w:rsidR="00802B39" w:rsidRDefault="00802B39" w:rsidP="008F35EE">
      <w:pPr>
        <w:numPr>
          <w:ilvl w:val="0"/>
          <w:numId w:val="33"/>
        </w:numPr>
        <w:spacing w:before="120" w:after="120"/>
        <w:rPr>
          <w:rFonts w:cs="Calibri"/>
        </w:rPr>
      </w:pPr>
      <w:r>
        <w:rPr>
          <w:rFonts w:cs="Calibri"/>
        </w:rPr>
        <w:t>staff are trained, qualified and well supported</w:t>
      </w:r>
    </w:p>
    <w:p w:rsidR="00802B39" w:rsidRDefault="00802B39" w:rsidP="008F35EE">
      <w:pPr>
        <w:numPr>
          <w:ilvl w:val="0"/>
          <w:numId w:val="33"/>
        </w:numPr>
        <w:spacing w:before="120" w:after="120"/>
        <w:rPr>
          <w:rFonts w:cs="Calibri"/>
        </w:rPr>
      </w:pPr>
      <w:r>
        <w:rPr>
          <w:rFonts w:cs="Calibri"/>
        </w:rPr>
        <w:t>students are supported to access high quality programs</w:t>
      </w:r>
    </w:p>
    <w:p w:rsidR="00401313" w:rsidRDefault="00802B39" w:rsidP="008F35EE">
      <w:pPr>
        <w:numPr>
          <w:ilvl w:val="0"/>
          <w:numId w:val="33"/>
        </w:numPr>
        <w:spacing w:before="120" w:after="120"/>
        <w:rPr>
          <w:rFonts w:cs="Calibri"/>
        </w:rPr>
      </w:pPr>
      <w:proofErr w:type="gramStart"/>
      <w:r>
        <w:rPr>
          <w:rFonts w:cs="Calibri"/>
        </w:rPr>
        <w:t>policy</w:t>
      </w:r>
      <w:proofErr w:type="gramEnd"/>
      <w:r>
        <w:rPr>
          <w:rFonts w:cs="Calibri"/>
        </w:rPr>
        <w:t xml:space="preserve"> and procedures are futures focussed and accountable.</w:t>
      </w:r>
    </w:p>
    <w:p w:rsidR="00511D82" w:rsidRPr="00401313" w:rsidRDefault="00511D82" w:rsidP="00401313">
      <w:pPr>
        <w:spacing w:before="120" w:after="120"/>
        <w:rPr>
          <w:rFonts w:cs="Calibri"/>
        </w:rPr>
      </w:pPr>
      <w:r w:rsidRPr="00401313">
        <w:rPr>
          <w:rFonts w:cs="Calibri"/>
        </w:rPr>
        <w:t xml:space="preserve">These priorities require attention to ensure the </w:t>
      </w:r>
      <w:r w:rsidR="000E05E9">
        <w:rPr>
          <w:rFonts w:cs="Calibri"/>
        </w:rPr>
        <w:t>effective</w:t>
      </w:r>
      <w:r w:rsidR="00401313">
        <w:rPr>
          <w:rFonts w:cs="Calibri"/>
        </w:rPr>
        <w:t xml:space="preserve"> </w:t>
      </w:r>
      <w:r w:rsidRPr="00401313">
        <w:rPr>
          <w:rFonts w:cs="Calibri"/>
        </w:rPr>
        <w:t>provision for EALD students.</w:t>
      </w:r>
    </w:p>
    <w:p w:rsidR="00511D82" w:rsidRDefault="00511D82" w:rsidP="00C13B7C">
      <w:pPr>
        <w:pStyle w:val="Heading2"/>
      </w:pPr>
    </w:p>
    <w:p w:rsidR="000510BA" w:rsidRPr="00963B64" w:rsidRDefault="006F711E" w:rsidP="00C13B7C">
      <w:pPr>
        <w:pStyle w:val="Heading2"/>
      </w:pPr>
      <w:bookmarkStart w:id="24" w:name="_Toc321213903"/>
      <w:bookmarkStart w:id="25" w:name="_Toc321224497"/>
      <w:bookmarkStart w:id="26" w:name="_Toc322080308"/>
      <w:bookmarkStart w:id="27" w:name="_Toc322083104"/>
      <w:r>
        <w:t xml:space="preserve">2.3 </w:t>
      </w:r>
      <w:bookmarkEnd w:id="24"/>
      <w:bookmarkEnd w:id="25"/>
      <w:r>
        <w:t>Targeted Support for EALD Students</w:t>
      </w:r>
      <w:bookmarkEnd w:id="26"/>
      <w:bookmarkEnd w:id="27"/>
      <w:r w:rsidR="00E45D2D">
        <w:t xml:space="preserve"> </w:t>
      </w:r>
      <w:r w:rsidR="005E5DB6">
        <w:t xml:space="preserve"> </w:t>
      </w:r>
      <w:bookmarkEnd w:id="20"/>
      <w:bookmarkEnd w:id="21"/>
      <w:bookmarkEnd w:id="22"/>
      <w:bookmarkEnd w:id="23"/>
    </w:p>
    <w:p w:rsidR="00D3764E" w:rsidRPr="00D964F0" w:rsidRDefault="00D3764E" w:rsidP="00D3764E">
      <w:pPr>
        <w:spacing w:before="120" w:after="120"/>
      </w:pPr>
      <w:r w:rsidRPr="00DA4655">
        <w:rPr>
          <w:rFonts w:cs="Calibri"/>
        </w:rPr>
        <w:t>In 2012</w:t>
      </w:r>
      <w:r w:rsidR="002031FC">
        <w:rPr>
          <w:rFonts w:cs="Calibri"/>
        </w:rPr>
        <w:t>,</w:t>
      </w:r>
      <w:r w:rsidRPr="00DA4655">
        <w:rPr>
          <w:rFonts w:cs="Calibri"/>
        </w:rPr>
        <w:t xml:space="preserve"> the estimated </w:t>
      </w:r>
      <w:proofErr w:type="gramStart"/>
      <w:r w:rsidRPr="00DA4655">
        <w:rPr>
          <w:rFonts w:cs="Calibri"/>
        </w:rPr>
        <w:t>points</w:t>
      </w:r>
      <w:proofErr w:type="gramEnd"/>
      <w:r w:rsidRPr="00DA4655">
        <w:rPr>
          <w:rFonts w:cs="Calibri"/>
        </w:rPr>
        <w:t xml:space="preserve"> allocations to mainstream schools </w:t>
      </w:r>
      <w:r>
        <w:rPr>
          <w:rFonts w:cs="Calibri"/>
        </w:rPr>
        <w:t xml:space="preserve">across public schools </w:t>
      </w:r>
      <w:r w:rsidRPr="00DA4655">
        <w:rPr>
          <w:rFonts w:cs="Calibri"/>
        </w:rPr>
        <w:t xml:space="preserve">equate to 69.5 </w:t>
      </w:r>
      <w:r w:rsidR="002031FC">
        <w:rPr>
          <w:rFonts w:cs="Calibri"/>
        </w:rPr>
        <w:t>FTE</w:t>
      </w:r>
      <w:r w:rsidRPr="00DA4655">
        <w:rPr>
          <w:rFonts w:cs="Calibri"/>
        </w:rPr>
        <w:t xml:space="preserve"> teaching positions.</w:t>
      </w:r>
      <w:r>
        <w:rPr>
          <w:rFonts w:cs="Calibri"/>
        </w:rPr>
        <w:t xml:space="preserve"> Every ACT public school and college in 2012 has </w:t>
      </w:r>
      <w:r w:rsidR="00511D82">
        <w:rPr>
          <w:rFonts w:cs="Calibri"/>
        </w:rPr>
        <w:t xml:space="preserve">an allocation for </w:t>
      </w:r>
      <w:r>
        <w:rPr>
          <w:rFonts w:cs="Calibri"/>
        </w:rPr>
        <w:t>EALD support of at least one day per week</w:t>
      </w:r>
      <w:r w:rsidR="009250A8">
        <w:rPr>
          <w:rFonts w:cs="Calibri"/>
        </w:rPr>
        <w:t xml:space="preserve"> (0.2 FTE)</w:t>
      </w:r>
      <w:r>
        <w:rPr>
          <w:rFonts w:cs="Calibri"/>
        </w:rPr>
        <w:t>.</w:t>
      </w:r>
    </w:p>
    <w:p w:rsidR="00EE3B00" w:rsidRPr="00DA4655" w:rsidRDefault="007759A9" w:rsidP="00504B61">
      <w:pPr>
        <w:spacing w:before="120" w:after="120"/>
        <w:rPr>
          <w:rFonts w:cs="Calibri"/>
        </w:rPr>
      </w:pPr>
      <w:r w:rsidRPr="00DA4655">
        <w:rPr>
          <w:rFonts w:cs="Calibri"/>
        </w:rPr>
        <w:t xml:space="preserve">A range of services </w:t>
      </w:r>
      <w:r w:rsidR="004348F6" w:rsidRPr="00DA4655">
        <w:rPr>
          <w:rFonts w:cs="Calibri"/>
        </w:rPr>
        <w:t>is</w:t>
      </w:r>
      <w:r w:rsidRPr="00DA4655">
        <w:rPr>
          <w:rFonts w:cs="Calibri"/>
        </w:rPr>
        <w:t xml:space="preserve"> provid</w:t>
      </w:r>
      <w:r w:rsidR="00EE3B00" w:rsidRPr="00DA4655">
        <w:rPr>
          <w:rFonts w:cs="Calibri"/>
        </w:rPr>
        <w:t xml:space="preserve">ed to meet the needs of EALD </w:t>
      </w:r>
      <w:r w:rsidRPr="00DA4655">
        <w:rPr>
          <w:rFonts w:cs="Calibri"/>
        </w:rPr>
        <w:t>stud</w:t>
      </w:r>
      <w:r w:rsidR="009250A8">
        <w:rPr>
          <w:rFonts w:cs="Calibri"/>
        </w:rPr>
        <w:t>ents in the ACT public school</w:t>
      </w:r>
      <w:r w:rsidRPr="00DA4655">
        <w:rPr>
          <w:rFonts w:cs="Calibri"/>
        </w:rPr>
        <w:t xml:space="preserve"> system.  </w:t>
      </w:r>
    </w:p>
    <w:p w:rsidR="00681591" w:rsidRDefault="00681591" w:rsidP="003B6388">
      <w:pPr>
        <w:numPr>
          <w:ilvl w:val="0"/>
          <w:numId w:val="3"/>
        </w:numPr>
        <w:spacing w:before="120" w:after="120"/>
        <w:rPr>
          <w:rStyle w:val="DefaultChar"/>
          <w:rFonts w:ascii="Calibri" w:eastAsia="Calibri" w:hAnsi="Calibri" w:cs="Calibri"/>
          <w:color w:val="auto"/>
          <w:sz w:val="22"/>
          <w:szCs w:val="22"/>
        </w:rPr>
      </w:pPr>
      <w:r w:rsidRPr="00DA4655">
        <w:rPr>
          <w:rStyle w:val="DefaultChar"/>
          <w:rFonts w:ascii="Calibri" w:eastAsia="Calibri" w:hAnsi="Calibri" w:cs="Calibri"/>
          <w:color w:val="auto"/>
          <w:sz w:val="22"/>
          <w:szCs w:val="22"/>
        </w:rPr>
        <w:t xml:space="preserve">Introductory English Centres (IECs) are a system resource co-located in mainstream schools.  </w:t>
      </w:r>
      <w:r w:rsidR="009203B5">
        <w:rPr>
          <w:rStyle w:val="DefaultChar"/>
          <w:rFonts w:ascii="Calibri" w:eastAsia="Calibri" w:hAnsi="Calibri" w:cs="Calibri"/>
          <w:color w:val="auto"/>
          <w:sz w:val="22"/>
          <w:szCs w:val="22"/>
        </w:rPr>
        <w:t>N</w:t>
      </w:r>
      <w:r w:rsidRPr="00DA4655">
        <w:rPr>
          <w:rStyle w:val="DefaultChar"/>
          <w:rFonts w:ascii="Calibri" w:eastAsia="Calibri" w:hAnsi="Calibri" w:cs="Calibri"/>
          <w:color w:val="auto"/>
          <w:sz w:val="22"/>
          <w:szCs w:val="22"/>
        </w:rPr>
        <w:t xml:space="preserve">ewly arrived students with minimal English </w:t>
      </w:r>
      <w:r w:rsidR="009203B5">
        <w:rPr>
          <w:rStyle w:val="DefaultChar"/>
          <w:rFonts w:ascii="Calibri" w:eastAsia="Calibri" w:hAnsi="Calibri" w:cs="Calibri"/>
          <w:color w:val="auto"/>
          <w:sz w:val="22"/>
          <w:szCs w:val="22"/>
        </w:rPr>
        <w:t xml:space="preserve">attend these centres for short term programs of </w:t>
      </w:r>
      <w:r w:rsidRPr="00DA4655">
        <w:rPr>
          <w:rStyle w:val="DefaultChar"/>
          <w:rFonts w:ascii="Calibri" w:eastAsia="Calibri" w:hAnsi="Calibri" w:cs="Calibri"/>
          <w:color w:val="auto"/>
          <w:sz w:val="22"/>
          <w:szCs w:val="22"/>
        </w:rPr>
        <w:t xml:space="preserve">intensive language teaching, prior to </w:t>
      </w:r>
      <w:r w:rsidR="00303B5E">
        <w:rPr>
          <w:rStyle w:val="DefaultChar"/>
          <w:rFonts w:ascii="Calibri" w:eastAsia="Calibri" w:hAnsi="Calibri" w:cs="Calibri"/>
          <w:color w:val="auto"/>
          <w:sz w:val="22"/>
          <w:szCs w:val="22"/>
        </w:rPr>
        <w:t>entry into mainstream schooling.</w:t>
      </w:r>
    </w:p>
    <w:p w:rsidR="005E5DB6" w:rsidRDefault="007759A9" w:rsidP="008F35EE">
      <w:pPr>
        <w:numPr>
          <w:ilvl w:val="1"/>
          <w:numId w:val="26"/>
        </w:numPr>
        <w:spacing w:before="120" w:after="120"/>
        <w:rPr>
          <w:szCs w:val="24"/>
        </w:rPr>
      </w:pPr>
      <w:r w:rsidRPr="00DA4655">
        <w:t>Four primary</w:t>
      </w:r>
      <w:r w:rsidR="00F20037" w:rsidRPr="00DA4655">
        <w:t xml:space="preserve"> IECs</w:t>
      </w:r>
      <w:r w:rsidR="003D5814" w:rsidRPr="00DA4655">
        <w:t xml:space="preserve"> provide</w:t>
      </w:r>
      <w:r w:rsidRPr="00DA4655">
        <w:t xml:space="preserve"> intensive English language services</w:t>
      </w:r>
      <w:r w:rsidR="00681591" w:rsidRPr="005E5DB6">
        <w:rPr>
          <w:szCs w:val="24"/>
        </w:rPr>
        <w:t>.</w:t>
      </w:r>
      <w:r w:rsidRPr="00DA4655">
        <w:t xml:space="preserve"> Students in these units receive 20 weeks of targeted language work</w:t>
      </w:r>
      <w:r w:rsidR="00303B5E">
        <w:t>,</w:t>
      </w:r>
      <w:r w:rsidRPr="00DA4655">
        <w:t xml:space="preserve"> with the possibility of a further 10 week</w:t>
      </w:r>
      <w:r w:rsidR="00EE3B00" w:rsidRPr="00DA4655">
        <w:t xml:space="preserve"> extension. </w:t>
      </w:r>
      <w:r w:rsidR="008648AF">
        <w:t>Primary IEC</w:t>
      </w:r>
      <w:r w:rsidR="00511D82">
        <w:t>s are located at North Ainslie Primary School, Hughes P</w:t>
      </w:r>
      <w:r w:rsidR="008648AF">
        <w:t xml:space="preserve">rimary School and Namadgi School. </w:t>
      </w:r>
      <w:r w:rsidR="008648AF">
        <w:rPr>
          <w:szCs w:val="24"/>
        </w:rPr>
        <w:t>In</w:t>
      </w:r>
      <w:r w:rsidR="00681591" w:rsidRPr="005E5DB6">
        <w:rPr>
          <w:szCs w:val="24"/>
        </w:rPr>
        <w:t xml:space="preserve"> 2012</w:t>
      </w:r>
      <w:r w:rsidR="00511D82">
        <w:rPr>
          <w:szCs w:val="24"/>
        </w:rPr>
        <w:t>,</w:t>
      </w:r>
      <w:r w:rsidR="00681591" w:rsidRPr="005E5DB6">
        <w:rPr>
          <w:szCs w:val="24"/>
        </w:rPr>
        <w:t xml:space="preserve"> </w:t>
      </w:r>
      <w:r w:rsidR="008648AF">
        <w:rPr>
          <w:szCs w:val="24"/>
        </w:rPr>
        <w:t xml:space="preserve">a new unit was opened </w:t>
      </w:r>
      <w:r w:rsidR="00681591" w:rsidRPr="005E5DB6">
        <w:rPr>
          <w:szCs w:val="24"/>
        </w:rPr>
        <w:t>at Charnwood Dunlop Primary School to improve access to IECs for students in Belconnen and Gungahlin.</w:t>
      </w:r>
    </w:p>
    <w:p w:rsidR="005E5DB6" w:rsidRDefault="00EE3B00" w:rsidP="008F35EE">
      <w:pPr>
        <w:numPr>
          <w:ilvl w:val="1"/>
          <w:numId w:val="26"/>
        </w:numPr>
        <w:spacing w:before="120" w:after="120"/>
      </w:pPr>
      <w:r w:rsidRPr="00DA4655">
        <w:t>A</w:t>
      </w:r>
      <w:r w:rsidR="007759A9" w:rsidRPr="00DA4655">
        <w:t xml:space="preserve"> secondary IEC unit at Dickson College accepts enrolments from across the ACT and offers a three level program</w:t>
      </w:r>
      <w:r w:rsidR="00511D82">
        <w:t>, which</w:t>
      </w:r>
      <w:r w:rsidR="007759A9" w:rsidRPr="00DA4655">
        <w:t xml:space="preserve"> provides 10 -30 weeks of targeted language instruction</w:t>
      </w:r>
      <w:r w:rsidR="00EC6794">
        <w:t xml:space="preserve"> to high school and college students</w:t>
      </w:r>
      <w:r w:rsidR="007759A9" w:rsidRPr="00DA4655">
        <w:t>.</w:t>
      </w:r>
    </w:p>
    <w:p w:rsidR="00CB56A1" w:rsidRPr="00CB56A1" w:rsidRDefault="00681591" w:rsidP="003B6388">
      <w:pPr>
        <w:numPr>
          <w:ilvl w:val="0"/>
          <w:numId w:val="4"/>
        </w:numPr>
        <w:spacing w:before="120" w:after="120"/>
        <w:rPr>
          <w:b/>
          <w:szCs w:val="24"/>
        </w:rPr>
      </w:pPr>
      <w:r w:rsidRPr="00DA4655">
        <w:t xml:space="preserve">IEC students are funded at both the IEC unit level and at their mainstream ‘home’ school for support once they have left the IEC. </w:t>
      </w:r>
      <w:r w:rsidR="00CB56A1">
        <w:t xml:space="preserve">This support continues until they have </w:t>
      </w:r>
      <w:r w:rsidR="00B04DD4">
        <w:t xml:space="preserve">exceeded </w:t>
      </w:r>
      <w:r w:rsidR="00CB56A1">
        <w:t xml:space="preserve">the language </w:t>
      </w:r>
      <w:r w:rsidR="00B04DD4">
        <w:t>performance level</w:t>
      </w:r>
      <w:r w:rsidR="00CB56A1">
        <w:t xml:space="preserve"> that equates to mainstream funding</w:t>
      </w:r>
      <w:r w:rsidR="00303B5E">
        <w:t>.</w:t>
      </w:r>
    </w:p>
    <w:p w:rsidR="00B05696" w:rsidRPr="00B05696" w:rsidRDefault="00EE3B00" w:rsidP="003B6388">
      <w:pPr>
        <w:numPr>
          <w:ilvl w:val="0"/>
          <w:numId w:val="4"/>
        </w:numPr>
        <w:spacing w:before="120" w:after="120"/>
        <w:rPr>
          <w:b/>
          <w:szCs w:val="24"/>
        </w:rPr>
      </w:pPr>
      <w:r w:rsidRPr="00CB56A1">
        <w:rPr>
          <w:rFonts w:cs="Calibri"/>
        </w:rPr>
        <w:t xml:space="preserve">The Education and Training Directorate provides transport support for IEC students </w:t>
      </w:r>
      <w:r w:rsidRPr="006D6BAF">
        <w:rPr>
          <w:rFonts w:cs="Calibri"/>
        </w:rPr>
        <w:t>who meet eligibility criteria</w:t>
      </w:r>
      <w:r w:rsidR="00A974C8" w:rsidRPr="006D6BAF">
        <w:rPr>
          <w:rFonts w:cs="Calibri"/>
        </w:rPr>
        <w:t xml:space="preserve"> (permanent</w:t>
      </w:r>
      <w:r w:rsidR="00A974C8">
        <w:rPr>
          <w:rFonts w:cs="Calibri"/>
        </w:rPr>
        <w:t xml:space="preserve"> residents and some temporary residents dependent on visa class)</w:t>
      </w:r>
      <w:r w:rsidR="00303B5E">
        <w:rPr>
          <w:rFonts w:cs="Calibri"/>
        </w:rPr>
        <w:t>.</w:t>
      </w:r>
    </w:p>
    <w:p w:rsidR="009250A8" w:rsidRPr="009250A8" w:rsidRDefault="009250A8" w:rsidP="009250A8">
      <w:pPr>
        <w:numPr>
          <w:ilvl w:val="0"/>
          <w:numId w:val="4"/>
        </w:numPr>
        <w:spacing w:before="120" w:after="120"/>
        <w:rPr>
          <w:rFonts w:cs="Calibri"/>
        </w:rPr>
      </w:pPr>
      <w:r w:rsidRPr="00DA4655">
        <w:rPr>
          <w:szCs w:val="24"/>
        </w:rPr>
        <w:t xml:space="preserve">EALD students </w:t>
      </w:r>
      <w:r>
        <w:rPr>
          <w:szCs w:val="24"/>
        </w:rPr>
        <w:t>i</w:t>
      </w:r>
      <w:r w:rsidRPr="00DA4655">
        <w:rPr>
          <w:szCs w:val="24"/>
        </w:rPr>
        <w:t xml:space="preserve">n mainstream primary and secondary schools </w:t>
      </w:r>
      <w:r w:rsidRPr="00DA4655">
        <w:rPr>
          <w:rFonts w:cs="Calibri"/>
          <w:lang w:val="en-GB"/>
        </w:rPr>
        <w:t>are eligible for targeted support from EALD staff if they meet the eligibility criteria</w:t>
      </w:r>
      <w:r w:rsidRPr="00DA4655">
        <w:rPr>
          <w:rFonts w:cs="Calibri"/>
          <w:i/>
          <w:lang w:val="en-GB"/>
        </w:rPr>
        <w:t>.</w:t>
      </w:r>
      <w:r w:rsidRPr="00DA4655">
        <w:rPr>
          <w:b/>
          <w:szCs w:val="24"/>
        </w:rPr>
        <w:t xml:space="preserve">  </w:t>
      </w:r>
    </w:p>
    <w:p w:rsidR="007759A9" w:rsidRPr="00DA4655" w:rsidRDefault="007759A9" w:rsidP="003B6388">
      <w:pPr>
        <w:numPr>
          <w:ilvl w:val="0"/>
          <w:numId w:val="4"/>
        </w:numPr>
        <w:spacing w:before="120" w:after="120"/>
        <w:rPr>
          <w:b/>
          <w:szCs w:val="24"/>
        </w:rPr>
      </w:pPr>
      <w:r w:rsidRPr="00DA4655">
        <w:rPr>
          <w:szCs w:val="24"/>
        </w:rPr>
        <w:t>Early Entry Preschool Placements are made for eligible children in the semester prior to their preschool year and are a</w:t>
      </w:r>
      <w:r w:rsidR="00303B5E">
        <w:rPr>
          <w:szCs w:val="24"/>
        </w:rPr>
        <w:t>vailable from the beginning of t</w:t>
      </w:r>
      <w:r w:rsidRPr="00DA4655">
        <w:rPr>
          <w:szCs w:val="24"/>
        </w:rPr>
        <w:t>erm 3.  Children</w:t>
      </w:r>
      <w:r w:rsidR="00802B39">
        <w:rPr>
          <w:szCs w:val="24"/>
        </w:rPr>
        <w:t>,</w:t>
      </w:r>
      <w:r w:rsidRPr="00DA4655">
        <w:rPr>
          <w:szCs w:val="24"/>
        </w:rPr>
        <w:t xml:space="preserve"> accompanied by the parent</w:t>
      </w:r>
      <w:r w:rsidR="00303B5E">
        <w:rPr>
          <w:szCs w:val="24"/>
        </w:rPr>
        <w:t>/</w:t>
      </w:r>
      <w:r w:rsidR="009B121A" w:rsidRPr="00DA4655">
        <w:rPr>
          <w:szCs w:val="24"/>
        </w:rPr>
        <w:t>carer</w:t>
      </w:r>
      <w:r w:rsidR="00802B39">
        <w:rPr>
          <w:szCs w:val="24"/>
        </w:rPr>
        <w:t>,</w:t>
      </w:r>
      <w:r w:rsidRPr="00DA4655">
        <w:rPr>
          <w:szCs w:val="24"/>
        </w:rPr>
        <w:t xml:space="preserve"> are offered a preschool program for a maximum of 6 hours per week.</w:t>
      </w:r>
    </w:p>
    <w:p w:rsidR="00EC6794" w:rsidRDefault="00EC6794" w:rsidP="003B6388">
      <w:pPr>
        <w:numPr>
          <w:ilvl w:val="0"/>
          <w:numId w:val="4"/>
        </w:numPr>
        <w:spacing w:before="120" w:after="120"/>
        <w:rPr>
          <w:rFonts w:cs="Calibri"/>
        </w:rPr>
      </w:pPr>
      <w:r>
        <w:rPr>
          <w:rFonts w:cs="Calibri"/>
        </w:rPr>
        <w:t>A</w:t>
      </w:r>
      <w:r w:rsidR="00C60EE0">
        <w:rPr>
          <w:rFonts w:cs="Calibri"/>
        </w:rPr>
        <w:t xml:space="preserve"> College Refugee Bridging P</w:t>
      </w:r>
      <w:r w:rsidR="007759A9" w:rsidRPr="00DA4655">
        <w:rPr>
          <w:rFonts w:cs="Calibri"/>
        </w:rPr>
        <w:t>rogram</w:t>
      </w:r>
      <w:r>
        <w:rPr>
          <w:rFonts w:cs="Calibri"/>
        </w:rPr>
        <w:t xml:space="preserve"> is</w:t>
      </w:r>
      <w:r w:rsidR="007759A9" w:rsidRPr="00DA4655">
        <w:rPr>
          <w:rFonts w:cs="Calibri"/>
        </w:rPr>
        <w:t xml:space="preserve"> run by Dickson College</w:t>
      </w:r>
      <w:r>
        <w:rPr>
          <w:rFonts w:cs="Calibri"/>
        </w:rPr>
        <w:t>.</w:t>
      </w:r>
    </w:p>
    <w:p w:rsidR="000B01B4" w:rsidRPr="00DA4655" w:rsidRDefault="00EC6794" w:rsidP="003B6388">
      <w:pPr>
        <w:numPr>
          <w:ilvl w:val="0"/>
          <w:numId w:val="4"/>
        </w:numPr>
        <w:spacing w:before="120" w:after="120"/>
        <w:rPr>
          <w:rFonts w:cs="Calibri"/>
        </w:rPr>
      </w:pPr>
      <w:r>
        <w:rPr>
          <w:rFonts w:cs="Calibri"/>
        </w:rPr>
        <w:t>In term 2 2012</w:t>
      </w:r>
      <w:r w:rsidR="00C60EE0">
        <w:rPr>
          <w:rFonts w:cs="Calibri"/>
        </w:rPr>
        <w:t>,</w:t>
      </w:r>
      <w:r w:rsidR="007759A9" w:rsidRPr="00DA4655">
        <w:rPr>
          <w:rFonts w:cs="Calibri"/>
        </w:rPr>
        <w:t xml:space="preserve"> a Refugee Support 2012 Pilot </w:t>
      </w:r>
      <w:r w:rsidR="00F85CE2" w:rsidRPr="00DA4655">
        <w:rPr>
          <w:rFonts w:cs="Calibri"/>
        </w:rPr>
        <w:t xml:space="preserve">Program will </w:t>
      </w:r>
      <w:r>
        <w:rPr>
          <w:rFonts w:cs="Calibri"/>
        </w:rPr>
        <w:t>commence</w:t>
      </w:r>
      <w:r w:rsidR="00F85CE2" w:rsidRPr="00DA4655">
        <w:rPr>
          <w:rFonts w:cs="Calibri"/>
        </w:rPr>
        <w:t xml:space="preserve"> at Kingsford Smith School and</w:t>
      </w:r>
      <w:r w:rsidR="007759A9" w:rsidRPr="00DA4655">
        <w:rPr>
          <w:rFonts w:cs="Calibri"/>
        </w:rPr>
        <w:t xml:space="preserve"> University of Canberra </w:t>
      </w:r>
      <w:r w:rsidR="007D6CFB">
        <w:rPr>
          <w:rFonts w:cs="Calibri"/>
        </w:rPr>
        <w:t xml:space="preserve">Senior Secondary College, </w:t>
      </w:r>
      <w:r w:rsidR="007759A9" w:rsidRPr="00DA4655">
        <w:rPr>
          <w:rFonts w:cs="Calibri"/>
        </w:rPr>
        <w:t xml:space="preserve">Lake Ginninderra.  </w:t>
      </w:r>
    </w:p>
    <w:p w:rsidR="009250A8" w:rsidRDefault="009250A8" w:rsidP="00C13B7C">
      <w:pPr>
        <w:pStyle w:val="Heading2"/>
        <w:rPr>
          <w:rStyle w:val="BookTitle"/>
          <w:b/>
        </w:rPr>
      </w:pPr>
      <w:bookmarkStart w:id="28" w:name="_Toc321213904"/>
      <w:bookmarkStart w:id="29" w:name="_Toc321224498"/>
    </w:p>
    <w:p w:rsidR="00E66827" w:rsidRPr="00504B61" w:rsidRDefault="009250A8" w:rsidP="00C13B7C">
      <w:pPr>
        <w:pStyle w:val="Heading2"/>
        <w:rPr>
          <w:rStyle w:val="BookTitle"/>
          <w:b/>
        </w:rPr>
      </w:pPr>
      <w:bookmarkStart w:id="30" w:name="_Toc322080309"/>
      <w:bookmarkStart w:id="31" w:name="_Toc322083105"/>
      <w:r>
        <w:rPr>
          <w:rStyle w:val="BookTitle"/>
          <w:b/>
        </w:rPr>
        <w:t>2</w:t>
      </w:r>
      <w:r w:rsidR="00EC6794">
        <w:rPr>
          <w:rStyle w:val="BookTitle"/>
          <w:b/>
        </w:rPr>
        <w:t>.4</w:t>
      </w:r>
      <w:r w:rsidR="005E5DB6" w:rsidRPr="00504B61">
        <w:rPr>
          <w:rStyle w:val="BookTitle"/>
          <w:b/>
        </w:rPr>
        <w:t xml:space="preserve"> </w:t>
      </w:r>
      <w:bookmarkEnd w:id="28"/>
      <w:bookmarkEnd w:id="29"/>
      <w:r>
        <w:rPr>
          <w:rStyle w:val="BookTitle"/>
          <w:b/>
        </w:rPr>
        <w:t>Teacher Professional Learning</w:t>
      </w:r>
      <w:bookmarkEnd w:id="30"/>
      <w:bookmarkEnd w:id="31"/>
    </w:p>
    <w:p w:rsidR="00DD0427" w:rsidRDefault="00DD0427" w:rsidP="00504B61">
      <w:pPr>
        <w:spacing w:before="120" w:after="120"/>
      </w:pPr>
      <w:r>
        <w:t xml:space="preserve">Teachers can specialise as an ESL teacher through a qualification in </w:t>
      </w:r>
      <w:r w:rsidRPr="009C4EDD">
        <w:rPr>
          <w:i/>
        </w:rPr>
        <w:t>Teaching English to Spea</w:t>
      </w:r>
      <w:r w:rsidR="00B05696" w:rsidRPr="009C4EDD">
        <w:rPr>
          <w:i/>
        </w:rPr>
        <w:t>kers of Other Languages (TESOL)</w:t>
      </w:r>
      <w:r w:rsidR="00B05696">
        <w:t>.</w:t>
      </w:r>
    </w:p>
    <w:p w:rsidR="00E45E80" w:rsidRPr="00DA4655" w:rsidRDefault="00E45E80" w:rsidP="00504B61">
      <w:pPr>
        <w:spacing w:before="120" w:after="120"/>
      </w:pPr>
      <w:r w:rsidRPr="00DA4655">
        <w:t>The Directorate provides teacher support and professional learning for EALD teachers in mainstream schools and IECs</w:t>
      </w:r>
      <w:r w:rsidR="009C4EDD">
        <w:t>,</w:t>
      </w:r>
      <w:r w:rsidRPr="00DA4655">
        <w:t xml:space="preserve"> including:</w:t>
      </w:r>
    </w:p>
    <w:p w:rsidR="00E45E80" w:rsidRPr="00DA4655" w:rsidRDefault="00802B39" w:rsidP="003B6388">
      <w:pPr>
        <w:numPr>
          <w:ilvl w:val="0"/>
          <w:numId w:val="5"/>
        </w:numPr>
        <w:spacing w:before="120" w:after="120"/>
      </w:pPr>
      <w:r>
        <w:t>r</w:t>
      </w:r>
      <w:r w:rsidR="00E45E80" w:rsidRPr="00DA4655">
        <w:t>egular EALD network forums which include p</w:t>
      </w:r>
      <w:r>
        <w:t>rofessional learning components</w:t>
      </w:r>
    </w:p>
    <w:p w:rsidR="00E45E80" w:rsidRPr="00DA4655" w:rsidRDefault="00802B39" w:rsidP="003B6388">
      <w:pPr>
        <w:numPr>
          <w:ilvl w:val="0"/>
          <w:numId w:val="5"/>
        </w:numPr>
        <w:spacing w:before="120" w:after="120"/>
      </w:pPr>
      <w:r>
        <w:t>s</w:t>
      </w:r>
      <w:r w:rsidR="00E45E80" w:rsidRPr="00DA4655">
        <w:t>cholarships funded by the Directorate for te</w:t>
      </w:r>
      <w:r w:rsidR="009C4EDD">
        <w:t xml:space="preserve">rtiary level qualifications in </w:t>
      </w:r>
      <w:r w:rsidR="009C4EDD" w:rsidRPr="009C4EDD">
        <w:rPr>
          <w:i/>
        </w:rPr>
        <w:t>T</w:t>
      </w:r>
      <w:r w:rsidR="00E45E80" w:rsidRPr="009C4EDD">
        <w:rPr>
          <w:i/>
        </w:rPr>
        <w:t>eaching English to Spea</w:t>
      </w:r>
      <w:r w:rsidRPr="009C4EDD">
        <w:rPr>
          <w:i/>
        </w:rPr>
        <w:t>kers of Other Languages (TESOL)</w:t>
      </w:r>
    </w:p>
    <w:p w:rsidR="00E45E80" w:rsidRDefault="00802B39" w:rsidP="003B6388">
      <w:pPr>
        <w:numPr>
          <w:ilvl w:val="0"/>
          <w:numId w:val="5"/>
        </w:numPr>
        <w:spacing w:before="120" w:after="120"/>
      </w:pPr>
      <w:r>
        <w:t>o</w:t>
      </w:r>
      <w:r w:rsidR="00E45E80" w:rsidRPr="00DA4655">
        <w:t>pportunities to participate in and train as facilitators in a range of EALD specific professional learning courses</w:t>
      </w:r>
    </w:p>
    <w:p w:rsidR="00DD0427" w:rsidRPr="00DA4655" w:rsidRDefault="00522A11" w:rsidP="003B6388">
      <w:pPr>
        <w:numPr>
          <w:ilvl w:val="0"/>
          <w:numId w:val="5"/>
        </w:numPr>
        <w:spacing w:before="120" w:after="120"/>
      </w:pPr>
      <w:proofErr w:type="gramStart"/>
      <w:r>
        <w:rPr>
          <w:rFonts w:cs="Calibri"/>
        </w:rPr>
        <w:t>an</w:t>
      </w:r>
      <w:proofErr w:type="gramEnd"/>
      <w:r>
        <w:rPr>
          <w:rFonts w:cs="Calibri"/>
        </w:rPr>
        <w:t xml:space="preserve"> </w:t>
      </w:r>
      <w:r w:rsidR="00802B39">
        <w:rPr>
          <w:rFonts w:cs="Calibri"/>
        </w:rPr>
        <w:t>i</w:t>
      </w:r>
      <w:r w:rsidR="00DD0427" w:rsidRPr="00DA4655">
        <w:rPr>
          <w:rFonts w:cs="Calibri"/>
        </w:rPr>
        <w:t>nduction program for new teachers</w:t>
      </w:r>
      <w:r w:rsidR="00802B39">
        <w:rPr>
          <w:rFonts w:cs="Calibri"/>
        </w:rPr>
        <w:t>.</w:t>
      </w:r>
    </w:p>
    <w:p w:rsidR="00DD0427" w:rsidRDefault="00E45E80" w:rsidP="00504B61">
      <w:pPr>
        <w:spacing w:before="120" w:after="120"/>
      </w:pPr>
      <w:r w:rsidRPr="00DA4655">
        <w:t xml:space="preserve">In addition, the Directorate provides mainstream teachers </w:t>
      </w:r>
      <w:r w:rsidR="00ED3518">
        <w:t xml:space="preserve">professional learning and </w:t>
      </w:r>
      <w:r w:rsidR="00DD0427" w:rsidRPr="00DA4655">
        <w:t xml:space="preserve">support </w:t>
      </w:r>
      <w:r w:rsidR="00DD0427">
        <w:t>including</w:t>
      </w:r>
      <w:r w:rsidR="00ED3518">
        <w:t xml:space="preserve"> access to</w:t>
      </w:r>
      <w:r w:rsidR="00DD0427">
        <w:t>:</w:t>
      </w:r>
    </w:p>
    <w:p w:rsidR="00E45E80" w:rsidRDefault="00802B39" w:rsidP="008F35EE">
      <w:pPr>
        <w:numPr>
          <w:ilvl w:val="0"/>
          <w:numId w:val="27"/>
        </w:numPr>
        <w:spacing w:before="120" w:after="120"/>
      </w:pPr>
      <w:r>
        <w:t>c</w:t>
      </w:r>
      <w:r w:rsidR="00E45E80" w:rsidRPr="00DA4655">
        <w:t>ourses that have a focus on the needs of the EALD student</w:t>
      </w:r>
      <w:r w:rsidR="00DD0427">
        <w:t xml:space="preserve"> as well as</w:t>
      </w:r>
      <w:r>
        <w:t xml:space="preserve"> needs of all students</w:t>
      </w:r>
    </w:p>
    <w:p w:rsidR="00B05696" w:rsidRPr="00DA4655" w:rsidRDefault="00802B39" w:rsidP="008F35EE">
      <w:pPr>
        <w:numPr>
          <w:ilvl w:val="0"/>
          <w:numId w:val="27"/>
        </w:numPr>
        <w:spacing w:before="120" w:after="120"/>
      </w:pPr>
      <w:proofErr w:type="gramStart"/>
      <w:r>
        <w:t>s</w:t>
      </w:r>
      <w:r w:rsidR="00B05696">
        <w:t>pecific</w:t>
      </w:r>
      <w:proofErr w:type="gramEnd"/>
      <w:r w:rsidR="00B05696">
        <w:t xml:space="preserve"> EALD university accredit</w:t>
      </w:r>
      <w:r w:rsidR="009C4EDD">
        <w:t>ed courses delivered through the Directorate</w:t>
      </w:r>
      <w:r w:rsidR="00B05696">
        <w:t xml:space="preserve"> and the University of Canberra</w:t>
      </w:r>
      <w:r>
        <w:t>.</w:t>
      </w:r>
    </w:p>
    <w:p w:rsidR="00ED3518" w:rsidRDefault="00ED3518" w:rsidP="00504B61">
      <w:pPr>
        <w:spacing w:before="120" w:after="120"/>
      </w:pPr>
      <w:r>
        <w:t>All teachers can access:</w:t>
      </w:r>
    </w:p>
    <w:p w:rsidR="00ED3518" w:rsidRDefault="00802B39" w:rsidP="008F35EE">
      <w:pPr>
        <w:numPr>
          <w:ilvl w:val="0"/>
          <w:numId w:val="27"/>
        </w:numPr>
        <w:spacing w:before="120" w:after="120"/>
      </w:pPr>
      <w:r>
        <w:t>t</w:t>
      </w:r>
      <w:r w:rsidR="00E45E80" w:rsidRPr="00DA4655">
        <w:t xml:space="preserve">he </w:t>
      </w:r>
      <w:r w:rsidR="00E45E80" w:rsidRPr="009C4EDD">
        <w:rPr>
          <w:i/>
        </w:rPr>
        <w:t xml:space="preserve">EALD </w:t>
      </w:r>
      <w:r w:rsidR="001220E4">
        <w:rPr>
          <w:i/>
        </w:rPr>
        <w:t xml:space="preserve">Program </w:t>
      </w:r>
      <w:r w:rsidR="00E45E80" w:rsidRPr="009C4EDD">
        <w:rPr>
          <w:i/>
        </w:rPr>
        <w:t>Procedural Manual</w:t>
      </w:r>
      <w:r w:rsidR="00E45E80" w:rsidRPr="00DA4655">
        <w:t xml:space="preserve"> to support teachers and principals </w:t>
      </w:r>
    </w:p>
    <w:p w:rsidR="00227FA5" w:rsidRDefault="00802B39" w:rsidP="008F35EE">
      <w:pPr>
        <w:numPr>
          <w:ilvl w:val="0"/>
          <w:numId w:val="27"/>
        </w:numPr>
        <w:spacing w:before="120" w:after="120"/>
      </w:pPr>
      <w:r>
        <w:t>t</w:t>
      </w:r>
      <w:r w:rsidR="00E45E80" w:rsidRPr="00DA4655">
        <w:t xml:space="preserve">he </w:t>
      </w:r>
      <w:proofErr w:type="spellStart"/>
      <w:r w:rsidR="00E45E80" w:rsidRPr="00DA4655">
        <w:t>ACA</w:t>
      </w:r>
      <w:r w:rsidR="009C4EDD">
        <w:t>RA</w:t>
      </w:r>
      <w:proofErr w:type="spellEnd"/>
      <w:r w:rsidR="009C4EDD">
        <w:t xml:space="preserve"> </w:t>
      </w:r>
      <w:proofErr w:type="spellStart"/>
      <w:r w:rsidR="009C4EDD" w:rsidRPr="009C4EDD">
        <w:rPr>
          <w:i/>
        </w:rPr>
        <w:t>EALD:Teacher</w:t>
      </w:r>
      <w:proofErr w:type="spellEnd"/>
      <w:r w:rsidR="009C4EDD" w:rsidRPr="009C4EDD">
        <w:rPr>
          <w:i/>
        </w:rPr>
        <w:t xml:space="preserve"> Resource</w:t>
      </w:r>
    </w:p>
    <w:p w:rsidR="00E45E80" w:rsidRPr="00DA4655" w:rsidRDefault="00802B39" w:rsidP="008F35EE">
      <w:pPr>
        <w:numPr>
          <w:ilvl w:val="0"/>
          <w:numId w:val="27"/>
        </w:numPr>
        <w:spacing w:before="120" w:after="120"/>
      </w:pPr>
      <w:proofErr w:type="gramStart"/>
      <w:r>
        <w:t>i</w:t>
      </w:r>
      <w:r w:rsidR="00E45E80" w:rsidRPr="00DA4655">
        <w:t>ndividual</w:t>
      </w:r>
      <w:proofErr w:type="gramEnd"/>
      <w:r w:rsidR="00E45E80" w:rsidRPr="00DA4655">
        <w:t xml:space="preserve"> support and advice thr</w:t>
      </w:r>
      <w:r>
        <w:t>ough the EALD Executive Officer</w:t>
      </w:r>
      <w:r w:rsidR="009250A8">
        <w:t xml:space="preserve"> and the</w:t>
      </w:r>
      <w:r w:rsidR="00E45E80" w:rsidRPr="00DA4655">
        <w:t xml:space="preserve"> Manager and Assistant Manager</w:t>
      </w:r>
      <w:r w:rsidR="009250A8">
        <w:t xml:space="preserve"> of the</w:t>
      </w:r>
      <w:r w:rsidR="00E45E80" w:rsidRPr="00DA4655">
        <w:t xml:space="preserve"> Literacy and Numeracy</w:t>
      </w:r>
      <w:r w:rsidR="009C4EDD">
        <w:t xml:space="preserve"> section of the Directorate</w:t>
      </w:r>
      <w:r w:rsidR="00E45E80" w:rsidRPr="00DA4655">
        <w:t>.</w:t>
      </w:r>
    </w:p>
    <w:p w:rsidR="009C4EDD" w:rsidRPr="009C4EDD" w:rsidRDefault="00E45E80" w:rsidP="00504B61">
      <w:pPr>
        <w:spacing w:before="120" w:after="120"/>
        <w:rPr>
          <w:color w:val="000000"/>
        </w:rPr>
      </w:pPr>
      <w:r w:rsidRPr="00DA4655">
        <w:t>A table outlining the professional learning and other support available to both EALD teachers and to mainstream teachers</w:t>
      </w:r>
      <w:bookmarkStart w:id="32" w:name="_Toc318314409"/>
      <w:bookmarkStart w:id="33" w:name="_Toc318314425"/>
      <w:r w:rsidRPr="00DA4655">
        <w:t xml:space="preserve"> in AC</w:t>
      </w:r>
      <w:r w:rsidR="00DD0427">
        <w:t xml:space="preserve">T public schools is </w:t>
      </w:r>
      <w:r w:rsidR="00711BBE">
        <w:t>provided</w:t>
      </w:r>
      <w:r w:rsidR="00DD0427">
        <w:t xml:space="preserve"> i</w:t>
      </w:r>
      <w:r w:rsidRPr="009C291C">
        <w:rPr>
          <w:color w:val="000000"/>
        </w:rPr>
        <w:t xml:space="preserve">n Appendix </w:t>
      </w:r>
      <w:r w:rsidR="00522A11">
        <w:rPr>
          <w:color w:val="000000"/>
        </w:rPr>
        <w:t>3</w:t>
      </w:r>
      <w:r w:rsidRPr="009C291C">
        <w:rPr>
          <w:color w:val="000000"/>
        </w:rPr>
        <w:t>.</w:t>
      </w:r>
      <w:r w:rsidR="009C4EDD">
        <w:rPr>
          <w:color w:val="000000"/>
        </w:rPr>
        <w:br/>
      </w:r>
    </w:p>
    <w:p w:rsidR="009B121A" w:rsidRPr="00DA4655" w:rsidRDefault="009250A8" w:rsidP="00C13B7C">
      <w:pPr>
        <w:pStyle w:val="Heading2"/>
      </w:pPr>
      <w:bookmarkStart w:id="34" w:name="_Toc321213905"/>
      <w:bookmarkStart w:id="35" w:name="_Toc321224499"/>
      <w:bookmarkStart w:id="36" w:name="_Toc322080310"/>
      <w:bookmarkStart w:id="37" w:name="_Toc322083106"/>
      <w:r>
        <w:t>2</w:t>
      </w:r>
      <w:r w:rsidR="00567CB4">
        <w:t>.5</w:t>
      </w:r>
      <w:r w:rsidR="005E5DB6">
        <w:t xml:space="preserve"> </w:t>
      </w:r>
      <w:bookmarkEnd w:id="34"/>
      <w:bookmarkEnd w:id="35"/>
      <w:r>
        <w:t>Translator Services for Parents/</w:t>
      </w:r>
      <w:proofErr w:type="spellStart"/>
      <w:r>
        <w:t>Carers</w:t>
      </w:r>
      <w:bookmarkEnd w:id="36"/>
      <w:bookmarkEnd w:id="37"/>
      <w:proofErr w:type="spellEnd"/>
    </w:p>
    <w:p w:rsidR="00ED3518" w:rsidRDefault="009B121A" w:rsidP="00504B61">
      <w:pPr>
        <w:spacing w:before="120" w:after="120"/>
      </w:pPr>
      <w:r w:rsidRPr="00DA4655">
        <w:t xml:space="preserve">Translator services are provided free of charge for parents and carers of EALD students in the IECs. </w:t>
      </w:r>
    </w:p>
    <w:p w:rsidR="009B121A" w:rsidRPr="00DA4655" w:rsidRDefault="009B121A" w:rsidP="00504B61">
      <w:pPr>
        <w:spacing w:before="120" w:after="120"/>
      </w:pPr>
      <w:r w:rsidRPr="00DA4655">
        <w:t xml:space="preserve">The </w:t>
      </w:r>
      <w:r w:rsidRPr="00E551AF">
        <w:rPr>
          <w:i/>
        </w:rPr>
        <w:t xml:space="preserve">EALD </w:t>
      </w:r>
      <w:r w:rsidR="001220E4">
        <w:rPr>
          <w:i/>
        </w:rPr>
        <w:t xml:space="preserve">Program </w:t>
      </w:r>
      <w:r w:rsidRPr="00E551AF">
        <w:rPr>
          <w:i/>
        </w:rPr>
        <w:t>Procedural Manual</w:t>
      </w:r>
      <w:r w:rsidRPr="00DA4655">
        <w:t xml:space="preserve"> advises mainstream schools to access </w:t>
      </w:r>
      <w:r w:rsidR="00802B39">
        <w:t xml:space="preserve">translator services as required, </w:t>
      </w:r>
      <w:r w:rsidR="00681591" w:rsidRPr="00DA4655">
        <w:t>supporting</w:t>
      </w:r>
      <w:r w:rsidR="00802B39">
        <w:t xml:space="preserve"> the parents/</w:t>
      </w:r>
      <w:r w:rsidRPr="00DA4655">
        <w:t>carers of EALD students in their schools at enrolment and reporting p</w:t>
      </w:r>
      <w:r w:rsidR="00E629B8">
        <w:t>eriods. Funds provided through s</w:t>
      </w:r>
      <w:r w:rsidRPr="00DA4655">
        <w:t>chool based management payments to support EALD students are available for this purpose</w:t>
      </w:r>
      <w:r w:rsidR="00341199">
        <w:t xml:space="preserve"> in mainstream schools</w:t>
      </w:r>
      <w:r w:rsidRPr="00DA4655">
        <w:t>.</w:t>
      </w:r>
    </w:p>
    <w:bookmarkEnd w:id="32"/>
    <w:bookmarkEnd w:id="33"/>
    <w:p w:rsidR="00711BBE" w:rsidRDefault="00711BBE" w:rsidP="00C13B7C">
      <w:pPr>
        <w:pStyle w:val="Heading2"/>
      </w:pPr>
    </w:p>
    <w:p w:rsidR="00E45E80" w:rsidRPr="00D964F0" w:rsidRDefault="009250A8" w:rsidP="00C13B7C">
      <w:pPr>
        <w:pStyle w:val="Heading2"/>
      </w:pPr>
      <w:bookmarkStart w:id="38" w:name="_Toc321213906"/>
      <w:bookmarkStart w:id="39" w:name="_Toc321224500"/>
      <w:bookmarkStart w:id="40" w:name="_Toc322080311"/>
      <w:bookmarkStart w:id="41" w:name="_Toc322083107"/>
      <w:r>
        <w:t>2</w:t>
      </w:r>
      <w:r w:rsidR="00567CB4">
        <w:t>.6</w:t>
      </w:r>
      <w:r w:rsidR="005E5DB6" w:rsidRPr="00D964F0">
        <w:t xml:space="preserve"> </w:t>
      </w:r>
      <w:bookmarkEnd w:id="38"/>
      <w:bookmarkEnd w:id="39"/>
      <w:r>
        <w:t>Stakeholder Consultation</w:t>
      </w:r>
      <w:bookmarkEnd w:id="40"/>
      <w:bookmarkEnd w:id="41"/>
      <w:r w:rsidR="004442D0" w:rsidRPr="00D964F0">
        <w:t xml:space="preserve"> </w:t>
      </w:r>
    </w:p>
    <w:p w:rsidR="00F17392" w:rsidRPr="00DA4655" w:rsidRDefault="00F17392" w:rsidP="00F17392">
      <w:pPr>
        <w:spacing w:before="120" w:after="120"/>
      </w:pPr>
      <w:r w:rsidRPr="00DA4655">
        <w:t>In conducting the review of EALD Services</w:t>
      </w:r>
      <w:r w:rsidR="002025F8">
        <w:t>,</w:t>
      </w:r>
      <w:r w:rsidRPr="00DA4655">
        <w:t xml:space="preserve"> a meeting of stakeholders was held on the evening of</w:t>
      </w:r>
      <w:r>
        <w:t xml:space="preserve"> </w:t>
      </w:r>
      <w:r w:rsidR="002025F8">
        <w:br/>
      </w:r>
      <w:r>
        <w:t>27 February 2012</w:t>
      </w:r>
      <w:r w:rsidRPr="00DA4655">
        <w:t xml:space="preserve"> at the Hedley Beare Centre for Teaching and Learning.</w:t>
      </w:r>
      <w:r w:rsidRPr="00F17392">
        <w:t xml:space="preserve"> </w:t>
      </w:r>
      <w:r w:rsidR="002025F8">
        <w:t>The Stakeholder F</w:t>
      </w:r>
      <w:r w:rsidRPr="00DA4655">
        <w:t xml:space="preserve">orum was well attended with 34 EALD teachers, nine Principals, six representatives from community organisations and five from Professional Associations.  See Appendix </w:t>
      </w:r>
      <w:r w:rsidR="00522A11">
        <w:t>4</w:t>
      </w:r>
      <w:r w:rsidR="00522A11" w:rsidRPr="00DA4655">
        <w:t xml:space="preserve"> </w:t>
      </w:r>
      <w:r w:rsidRPr="00DA4655">
        <w:t>for a list of all participants.</w:t>
      </w:r>
    </w:p>
    <w:p w:rsidR="00F17392" w:rsidRDefault="00F17392" w:rsidP="00F17392">
      <w:pPr>
        <w:spacing w:before="120" w:after="120"/>
      </w:pPr>
      <w:r w:rsidRPr="00DA4655">
        <w:t>A brief Background Paper</w:t>
      </w:r>
      <w:r w:rsidRPr="00DA4655">
        <w:rPr>
          <w:rStyle w:val="FootnoteReference"/>
        </w:rPr>
        <w:footnoteReference w:id="9"/>
      </w:r>
      <w:r w:rsidRPr="00DA4655">
        <w:t xml:space="preserve"> gave a general overview of EALD services provide</w:t>
      </w:r>
      <w:r w:rsidR="009250A8">
        <w:t xml:space="preserve">d by the </w:t>
      </w:r>
      <w:r w:rsidRPr="00DA4655">
        <w:t>Directorate and participants were given an opportunity to provide feedback on three key issues</w:t>
      </w:r>
      <w:r>
        <w:t>:</w:t>
      </w:r>
    </w:p>
    <w:p w:rsidR="00F17392" w:rsidRPr="00F17392" w:rsidRDefault="002025F8" w:rsidP="008F35EE">
      <w:pPr>
        <w:numPr>
          <w:ilvl w:val="0"/>
          <w:numId w:val="36"/>
        </w:numPr>
        <w:spacing w:before="120" w:after="120"/>
      </w:pPr>
      <w:r>
        <w:t>p</w:t>
      </w:r>
      <w:r w:rsidR="00E551AF">
        <w:t>rovision of EALD/ESL</w:t>
      </w:r>
      <w:r w:rsidR="00F17392" w:rsidRPr="00F17392">
        <w:t xml:space="preserve"> services </w:t>
      </w:r>
    </w:p>
    <w:p w:rsidR="00F17392" w:rsidRPr="00F17392" w:rsidRDefault="002025F8" w:rsidP="008F35EE">
      <w:pPr>
        <w:numPr>
          <w:ilvl w:val="0"/>
          <w:numId w:val="36"/>
        </w:numPr>
        <w:spacing w:before="120" w:after="120"/>
      </w:pPr>
      <w:r>
        <w:t>t</w:t>
      </w:r>
      <w:r w:rsidR="00F17392" w:rsidRPr="00F17392">
        <w:t>he LPR process and subsequent funding of students</w:t>
      </w:r>
    </w:p>
    <w:p w:rsidR="00F17392" w:rsidRPr="00910A36" w:rsidRDefault="002025F8" w:rsidP="008F35EE">
      <w:pPr>
        <w:numPr>
          <w:ilvl w:val="0"/>
          <w:numId w:val="36"/>
        </w:numPr>
        <w:spacing w:before="120" w:after="120"/>
        <w:rPr>
          <w:sz w:val="16"/>
          <w:szCs w:val="16"/>
        </w:rPr>
      </w:pPr>
      <w:proofErr w:type="gramStart"/>
      <w:r>
        <w:t>t</w:t>
      </w:r>
      <w:r w:rsidR="00F17392" w:rsidRPr="00F17392">
        <w:t>he</w:t>
      </w:r>
      <w:proofErr w:type="gramEnd"/>
      <w:r w:rsidR="00F17392" w:rsidRPr="00F17392">
        <w:t xml:space="preserve"> professional development and Directorate support services available to teachers</w:t>
      </w:r>
      <w:r w:rsidR="00F17392">
        <w:t>.</w:t>
      </w:r>
      <w:r w:rsidR="00910A36">
        <w:br/>
      </w:r>
    </w:p>
    <w:p w:rsidR="004442D0" w:rsidRPr="00DA4655" w:rsidRDefault="004442D0" w:rsidP="00504B61">
      <w:pPr>
        <w:spacing w:before="120" w:after="120"/>
      </w:pPr>
      <w:r>
        <w:t>Stakeholders</w:t>
      </w:r>
      <w:r w:rsidRPr="00DA4655">
        <w:t xml:space="preserve"> identified key strengths of t</w:t>
      </w:r>
      <w:r>
        <w:t>he current provision of support</w:t>
      </w:r>
      <w:r w:rsidRPr="00DA4655">
        <w:t xml:space="preserve"> including:</w:t>
      </w:r>
    </w:p>
    <w:p w:rsidR="004442D0" w:rsidRDefault="00504B61" w:rsidP="008F35EE">
      <w:pPr>
        <w:numPr>
          <w:ilvl w:val="0"/>
          <w:numId w:val="36"/>
        </w:numPr>
        <w:spacing w:before="120" w:after="120"/>
      </w:pPr>
      <w:r>
        <w:t>s</w:t>
      </w:r>
      <w:r w:rsidR="004442D0">
        <w:t xml:space="preserve">upport for new arrivals </w:t>
      </w:r>
      <w:r w:rsidR="004442D0" w:rsidRPr="00DA4655">
        <w:t xml:space="preserve">through </w:t>
      </w:r>
      <w:r w:rsidR="004442D0">
        <w:t xml:space="preserve">the </w:t>
      </w:r>
      <w:r w:rsidR="002025F8">
        <w:t>five</w:t>
      </w:r>
      <w:r w:rsidR="004442D0" w:rsidRPr="00DA4655">
        <w:t xml:space="preserve"> Introductory English Centres </w:t>
      </w:r>
    </w:p>
    <w:p w:rsidR="004442D0" w:rsidRPr="00DA4655" w:rsidRDefault="00504B61" w:rsidP="008F35EE">
      <w:pPr>
        <w:numPr>
          <w:ilvl w:val="0"/>
          <w:numId w:val="36"/>
        </w:numPr>
        <w:spacing w:before="120" w:after="120"/>
      </w:pPr>
      <w:r>
        <w:t>t</w:t>
      </w:r>
      <w:r w:rsidR="004442D0" w:rsidRPr="00DA4655">
        <w:t xml:space="preserve">he </w:t>
      </w:r>
      <w:r w:rsidR="004442D0">
        <w:t xml:space="preserve">diverse </w:t>
      </w:r>
      <w:r w:rsidR="004442D0" w:rsidRPr="00DA4655">
        <w:t>range of professional learning that supports the development of EALD teachers and raises the awareness of the needs of EALD students</w:t>
      </w:r>
    </w:p>
    <w:p w:rsidR="004442D0" w:rsidRDefault="00504B61" w:rsidP="008F35EE">
      <w:pPr>
        <w:numPr>
          <w:ilvl w:val="0"/>
          <w:numId w:val="36"/>
        </w:numPr>
        <w:spacing w:before="120" w:after="120"/>
      </w:pPr>
      <w:r>
        <w:t>t</w:t>
      </w:r>
      <w:r w:rsidR="004442D0" w:rsidRPr="00DA4655">
        <w:t xml:space="preserve">he revised EALD policy </w:t>
      </w:r>
      <w:r w:rsidR="004442D0">
        <w:t xml:space="preserve">and </w:t>
      </w:r>
      <w:r w:rsidR="004442D0" w:rsidRPr="00DA4655">
        <w:t xml:space="preserve">new </w:t>
      </w:r>
      <w:r w:rsidR="001220E4" w:rsidRPr="00CF0202">
        <w:t>EALD Program</w:t>
      </w:r>
      <w:r w:rsidR="004442D0" w:rsidRPr="00CF0202">
        <w:t xml:space="preserve"> </w:t>
      </w:r>
      <w:r w:rsidR="00996315" w:rsidRPr="00CF0202">
        <w:t xml:space="preserve">Procedural </w:t>
      </w:r>
      <w:r w:rsidR="004442D0" w:rsidRPr="00CF0202">
        <w:t>Manual</w:t>
      </w:r>
      <w:r w:rsidR="004442D0" w:rsidRPr="00DA4655">
        <w:t xml:space="preserve"> </w:t>
      </w:r>
    </w:p>
    <w:p w:rsidR="004442D0" w:rsidRPr="00DA4655" w:rsidRDefault="004442D0" w:rsidP="008F35EE">
      <w:pPr>
        <w:numPr>
          <w:ilvl w:val="0"/>
          <w:numId w:val="36"/>
        </w:numPr>
        <w:spacing w:before="120" w:after="120"/>
      </w:pPr>
      <w:r w:rsidRPr="00DA4655">
        <w:t xml:space="preserve">the ongoing support provided by the EALD Executive Officer and other officers within the Literacy and Numeracy </w:t>
      </w:r>
      <w:r w:rsidR="00873432">
        <w:t>section</w:t>
      </w:r>
    </w:p>
    <w:p w:rsidR="004442D0" w:rsidRDefault="00504B61" w:rsidP="008F35EE">
      <w:pPr>
        <w:numPr>
          <w:ilvl w:val="0"/>
          <w:numId w:val="36"/>
        </w:numPr>
        <w:spacing w:before="120" w:after="120"/>
      </w:pPr>
      <w:r>
        <w:t>t</w:t>
      </w:r>
      <w:r w:rsidR="004442D0">
        <w:t xml:space="preserve">he </w:t>
      </w:r>
      <w:r w:rsidR="004442D0" w:rsidRPr="00DA4655">
        <w:t xml:space="preserve">provision of scholarships    </w:t>
      </w:r>
    </w:p>
    <w:p w:rsidR="00470C5A" w:rsidRDefault="004442D0" w:rsidP="008F35EE">
      <w:pPr>
        <w:numPr>
          <w:ilvl w:val="0"/>
          <w:numId w:val="36"/>
        </w:numPr>
        <w:spacing w:before="120" w:after="120"/>
      </w:pPr>
      <w:r w:rsidRPr="00DA4655">
        <w:t xml:space="preserve">regular </w:t>
      </w:r>
      <w:r w:rsidR="00760432">
        <w:t xml:space="preserve">EALD teacher </w:t>
      </w:r>
      <w:r w:rsidR="00470C5A">
        <w:t>network meetings</w:t>
      </w:r>
    </w:p>
    <w:p w:rsidR="00910A36" w:rsidRPr="00910A36" w:rsidRDefault="00470C5A" w:rsidP="008F35EE">
      <w:pPr>
        <w:numPr>
          <w:ilvl w:val="0"/>
          <w:numId w:val="36"/>
        </w:numPr>
        <w:spacing w:before="120" w:after="120"/>
        <w:rPr>
          <w:sz w:val="16"/>
          <w:szCs w:val="16"/>
        </w:rPr>
      </w:pPr>
      <w:proofErr w:type="gramStart"/>
      <w:r>
        <w:t>t</w:t>
      </w:r>
      <w:r w:rsidRPr="00DA4655">
        <w:t>he</w:t>
      </w:r>
      <w:proofErr w:type="gramEnd"/>
      <w:r w:rsidRPr="00DA4655">
        <w:t xml:space="preserve"> refugee programs that </w:t>
      </w:r>
      <w:r w:rsidR="003276CB">
        <w:t xml:space="preserve">address </w:t>
      </w:r>
      <w:r w:rsidRPr="00DA4655">
        <w:t>an emerging need</w:t>
      </w:r>
      <w:r>
        <w:t>.</w:t>
      </w:r>
      <w:r w:rsidR="00910A36">
        <w:br/>
      </w:r>
    </w:p>
    <w:p w:rsidR="00996315" w:rsidRPr="00996315" w:rsidRDefault="00840BDD" w:rsidP="00504B61">
      <w:pPr>
        <w:spacing w:before="120" w:after="120"/>
        <w:rPr>
          <w:b/>
          <w:sz w:val="24"/>
          <w:szCs w:val="40"/>
        </w:rPr>
      </w:pPr>
      <w:r>
        <w:t xml:space="preserve">A number of issues were </w:t>
      </w:r>
      <w:r w:rsidR="009250A8">
        <w:t>raised</w:t>
      </w:r>
      <w:r w:rsidR="00522A11">
        <w:t xml:space="preserve"> including</w:t>
      </w:r>
      <w:r w:rsidR="00996315">
        <w:t>:</w:t>
      </w:r>
    </w:p>
    <w:p w:rsidR="00996315" w:rsidRPr="00CF0202" w:rsidRDefault="00840BDD" w:rsidP="008F35EE">
      <w:pPr>
        <w:numPr>
          <w:ilvl w:val="0"/>
          <w:numId w:val="36"/>
        </w:numPr>
        <w:spacing w:before="120" w:after="120"/>
      </w:pPr>
      <w:r>
        <w:t>c</w:t>
      </w:r>
      <w:r w:rsidR="004442D0" w:rsidRPr="00DA4655">
        <w:t xml:space="preserve">ontinued access to relevant professional learning </w:t>
      </w:r>
      <w:r>
        <w:t>for EALD teachers</w:t>
      </w:r>
    </w:p>
    <w:p w:rsidR="00840BDD" w:rsidRPr="00CF0202" w:rsidRDefault="00840BDD" w:rsidP="008F35EE">
      <w:pPr>
        <w:numPr>
          <w:ilvl w:val="0"/>
          <w:numId w:val="36"/>
        </w:numPr>
        <w:spacing w:before="120" w:after="120"/>
      </w:pPr>
      <w:r>
        <w:t>p</w:t>
      </w:r>
      <w:r w:rsidRPr="00DA4655">
        <w:t xml:space="preserve">rofessional learning focussed on an understanding of language acquisition </w:t>
      </w:r>
    </w:p>
    <w:p w:rsidR="00840BDD" w:rsidRPr="00CF0202" w:rsidRDefault="004442D0" w:rsidP="008F35EE">
      <w:pPr>
        <w:numPr>
          <w:ilvl w:val="0"/>
          <w:numId w:val="36"/>
        </w:numPr>
        <w:spacing w:before="120" w:after="120"/>
      </w:pPr>
      <w:proofErr w:type="spellStart"/>
      <w:r w:rsidRPr="00DA4655">
        <w:t>upskilling</w:t>
      </w:r>
      <w:proofErr w:type="spellEnd"/>
      <w:r w:rsidRPr="00DA4655">
        <w:t xml:space="preserve"> of mainstream teachers to meet the language learning needs of EALD s</w:t>
      </w:r>
      <w:r w:rsidR="00996315">
        <w:t xml:space="preserve">tudents </w:t>
      </w:r>
    </w:p>
    <w:p w:rsidR="00840BDD" w:rsidRPr="00CF0202" w:rsidRDefault="004442D0" w:rsidP="008F35EE">
      <w:pPr>
        <w:numPr>
          <w:ilvl w:val="0"/>
          <w:numId w:val="36"/>
        </w:numPr>
        <w:spacing w:before="120" w:after="120"/>
      </w:pPr>
      <w:r w:rsidRPr="00DA4655">
        <w:t xml:space="preserve">incentives for mainstream teachers to complete </w:t>
      </w:r>
      <w:r w:rsidR="00840BDD">
        <w:t xml:space="preserve">accredited courses      </w:t>
      </w:r>
    </w:p>
    <w:p w:rsidR="003276CB" w:rsidRPr="00CF0202" w:rsidRDefault="009250A8" w:rsidP="008F35EE">
      <w:pPr>
        <w:numPr>
          <w:ilvl w:val="0"/>
          <w:numId w:val="36"/>
        </w:numPr>
        <w:spacing w:before="120" w:after="120"/>
      </w:pPr>
      <w:proofErr w:type="gramStart"/>
      <w:r>
        <w:t>reduction</w:t>
      </w:r>
      <w:proofErr w:type="gramEnd"/>
      <w:r>
        <w:t xml:space="preserve"> in</w:t>
      </w:r>
      <w:r w:rsidR="004442D0" w:rsidRPr="00DA4655">
        <w:t xml:space="preserve"> the number of EALD Executive Officers.</w:t>
      </w:r>
    </w:p>
    <w:p w:rsidR="009250A8" w:rsidRDefault="009250A8" w:rsidP="00C13B7C">
      <w:pPr>
        <w:pStyle w:val="Heading2"/>
      </w:pPr>
    </w:p>
    <w:p w:rsidR="00FC7801" w:rsidRPr="00D964F0" w:rsidRDefault="009250A8" w:rsidP="00C13B7C">
      <w:pPr>
        <w:pStyle w:val="Heading2"/>
      </w:pPr>
      <w:bookmarkStart w:id="42" w:name="_Toc322080312"/>
      <w:bookmarkStart w:id="43" w:name="_Toc322083108"/>
      <w:r>
        <w:t>2</w:t>
      </w:r>
      <w:r w:rsidR="00567CB4">
        <w:t xml:space="preserve">.7 </w:t>
      </w:r>
      <w:r w:rsidR="00FC7801" w:rsidRPr="00D964F0">
        <w:t>F</w:t>
      </w:r>
      <w:r>
        <w:t>indings</w:t>
      </w:r>
      <w:bookmarkEnd w:id="42"/>
      <w:bookmarkEnd w:id="43"/>
    </w:p>
    <w:p w:rsidR="008956FE" w:rsidRDefault="009250A8" w:rsidP="00504B61">
      <w:pPr>
        <w:spacing w:before="120" w:after="120"/>
      </w:pPr>
      <w:r>
        <w:t>The Review identified</w:t>
      </w:r>
      <w:r w:rsidR="008956FE" w:rsidRPr="00DA4655">
        <w:t xml:space="preserve"> the following findings:</w:t>
      </w:r>
    </w:p>
    <w:p w:rsidR="00F14864" w:rsidRDefault="00F14864" w:rsidP="008F35EE">
      <w:pPr>
        <w:numPr>
          <w:ilvl w:val="0"/>
          <w:numId w:val="30"/>
        </w:numPr>
        <w:spacing w:before="120" w:after="120"/>
      </w:pPr>
      <w:r w:rsidRPr="00DA4655">
        <w:t xml:space="preserve">The Directorate </w:t>
      </w:r>
      <w:r>
        <w:t>provides</w:t>
      </w:r>
      <w:r w:rsidRPr="00DA4655">
        <w:t xml:space="preserve"> a range of services to support EALD students</w:t>
      </w:r>
      <w:r w:rsidR="00953C54">
        <w:t>,</w:t>
      </w:r>
      <w:r w:rsidRPr="00DA4655">
        <w:t xml:space="preserve"> including</w:t>
      </w:r>
      <w:r>
        <w:t xml:space="preserve"> intensive support in </w:t>
      </w:r>
      <w:r w:rsidR="00953C54">
        <w:t>IECs</w:t>
      </w:r>
      <w:r w:rsidRPr="00DA4655">
        <w:t xml:space="preserve"> at the primary and secondary level and </w:t>
      </w:r>
      <w:r>
        <w:t xml:space="preserve">the development of expert support in local schools through EALD teachers. </w:t>
      </w:r>
    </w:p>
    <w:p w:rsidR="00F14864" w:rsidRDefault="00F14864" w:rsidP="008F35EE">
      <w:pPr>
        <w:numPr>
          <w:ilvl w:val="0"/>
          <w:numId w:val="30"/>
        </w:numPr>
        <w:spacing w:before="120" w:after="120"/>
      </w:pPr>
      <w:r w:rsidRPr="00DA4655">
        <w:t xml:space="preserve">The Directorate </w:t>
      </w:r>
      <w:r>
        <w:t xml:space="preserve">is </w:t>
      </w:r>
      <w:r w:rsidRPr="00DA4655">
        <w:t xml:space="preserve">offering a range of targeted EALD professional learning courses </w:t>
      </w:r>
      <w:r>
        <w:t xml:space="preserve">to ensure staff </w:t>
      </w:r>
      <w:r w:rsidRPr="00DA4655">
        <w:t>working with EALD students are trained and qualified and their ongoing professional learning needs have been met.</w:t>
      </w:r>
    </w:p>
    <w:p w:rsidR="00F14864" w:rsidRPr="00DA4655" w:rsidRDefault="005F0573" w:rsidP="008F35EE">
      <w:pPr>
        <w:numPr>
          <w:ilvl w:val="0"/>
          <w:numId w:val="30"/>
        </w:numPr>
        <w:spacing w:before="120" w:after="120"/>
      </w:pPr>
      <w:r>
        <w:t>In 2011-</w:t>
      </w:r>
      <w:r w:rsidR="00F14864">
        <w:t>12</w:t>
      </w:r>
      <w:r>
        <w:t>,</w:t>
      </w:r>
      <w:r w:rsidR="00F14864">
        <w:t xml:space="preserve"> t</w:t>
      </w:r>
      <w:r w:rsidR="00F14864" w:rsidRPr="00DA4655">
        <w:t xml:space="preserve">he Directorate has developed an ESL/EALD Action Plan, updated the EALD Policy, developed and published an </w:t>
      </w:r>
      <w:r w:rsidR="00F14864" w:rsidRPr="005F0573">
        <w:rPr>
          <w:i/>
        </w:rPr>
        <w:t xml:space="preserve">EALD </w:t>
      </w:r>
      <w:r w:rsidRPr="005F0573">
        <w:rPr>
          <w:i/>
        </w:rPr>
        <w:t xml:space="preserve">Program </w:t>
      </w:r>
      <w:r w:rsidR="00F14864" w:rsidRPr="005F0573">
        <w:rPr>
          <w:i/>
        </w:rPr>
        <w:t>Procedural Manual</w:t>
      </w:r>
      <w:r w:rsidR="00F14864" w:rsidRPr="00DA4655">
        <w:t xml:space="preserve">, opened a new primary </w:t>
      </w:r>
      <w:r>
        <w:t>IEC</w:t>
      </w:r>
      <w:r w:rsidR="00F14864" w:rsidRPr="00DA4655">
        <w:t xml:space="preserve"> and continues initiatives to build capacity of staff to meet diverse language backgrounds. </w:t>
      </w:r>
    </w:p>
    <w:p w:rsidR="00FC7801" w:rsidRPr="00D964F0" w:rsidRDefault="00C72206" w:rsidP="00C13B7C">
      <w:pPr>
        <w:pStyle w:val="Heading2"/>
      </w:pPr>
      <w:r>
        <w:br w:type="page"/>
      </w:r>
      <w:bookmarkStart w:id="44" w:name="_Toc322083109"/>
      <w:r w:rsidR="00E8224F">
        <w:t>3</w:t>
      </w:r>
      <w:r w:rsidR="00D902D9" w:rsidRPr="00D964F0">
        <w:t xml:space="preserve">. </w:t>
      </w:r>
      <w:r w:rsidR="00387321" w:rsidRPr="00D964F0">
        <w:t>IDENTIFICATION OF EALD STUDENTS</w:t>
      </w:r>
      <w:bookmarkEnd w:id="44"/>
    </w:p>
    <w:p w:rsidR="00A15751" w:rsidRPr="00DA4655" w:rsidRDefault="00A15751" w:rsidP="00504B61">
      <w:pPr>
        <w:spacing w:before="120" w:after="120"/>
        <w:rPr>
          <w:rFonts w:cs="Calibri"/>
        </w:rPr>
      </w:pPr>
      <w:r w:rsidRPr="00DA4655">
        <w:rPr>
          <w:rFonts w:cs="Calibri"/>
        </w:rPr>
        <w:t xml:space="preserve">For the purposes of providing targeted EALD support, the Directorate defines EALD students </w:t>
      </w:r>
      <w:r w:rsidR="004F3428">
        <w:rPr>
          <w:rFonts w:cs="Calibri"/>
        </w:rPr>
        <w:t xml:space="preserve">in the EALD Policy </w:t>
      </w:r>
      <w:r w:rsidRPr="00DA4655">
        <w:rPr>
          <w:rFonts w:cs="Calibri"/>
        </w:rPr>
        <w:t>as those who meet the following eligibility criteria</w:t>
      </w:r>
      <w:r w:rsidR="004F3428">
        <w:rPr>
          <w:rFonts w:cs="Calibri"/>
        </w:rPr>
        <w:t>:</w:t>
      </w:r>
    </w:p>
    <w:p w:rsidR="00A15751" w:rsidRPr="00DA4655" w:rsidRDefault="0066758C" w:rsidP="008F35EE">
      <w:pPr>
        <w:numPr>
          <w:ilvl w:val="0"/>
          <w:numId w:val="6"/>
        </w:numPr>
        <w:spacing w:before="120" w:after="120"/>
        <w:rPr>
          <w:rFonts w:cs="Calibri"/>
          <w:szCs w:val="24"/>
        </w:rPr>
      </w:pPr>
      <w:r>
        <w:rPr>
          <w:rFonts w:cs="Calibri"/>
          <w:szCs w:val="24"/>
        </w:rPr>
        <w:t>the student, or</w:t>
      </w:r>
      <w:r w:rsidR="00A15751" w:rsidRPr="00DA4655">
        <w:rPr>
          <w:rFonts w:cs="Calibri"/>
          <w:szCs w:val="24"/>
        </w:rPr>
        <w:t xml:space="preserve"> one or both parents were born overseas in a non-English speaking country</w:t>
      </w:r>
      <w:r>
        <w:rPr>
          <w:rFonts w:cs="Calibri"/>
          <w:szCs w:val="24"/>
        </w:rPr>
        <w:t>,</w:t>
      </w:r>
      <w:r w:rsidR="00A15751" w:rsidRPr="00DA4655">
        <w:rPr>
          <w:rFonts w:cs="Calibri"/>
          <w:szCs w:val="24"/>
        </w:rPr>
        <w:t xml:space="preserve"> or identifies as an Aboriginal or Torres Strait Islander, and</w:t>
      </w:r>
    </w:p>
    <w:p w:rsidR="00A15751" w:rsidRPr="00DA4655" w:rsidRDefault="00A15751" w:rsidP="008F35EE">
      <w:pPr>
        <w:numPr>
          <w:ilvl w:val="0"/>
          <w:numId w:val="6"/>
        </w:numPr>
        <w:spacing w:before="120" w:after="120"/>
        <w:rPr>
          <w:rFonts w:cs="Calibri"/>
          <w:szCs w:val="24"/>
        </w:rPr>
      </w:pPr>
      <w:r w:rsidRPr="00DA4655">
        <w:rPr>
          <w:rFonts w:cs="Calibri"/>
          <w:szCs w:val="24"/>
        </w:rPr>
        <w:t>a language other than English is spoken at home, and</w:t>
      </w:r>
    </w:p>
    <w:p w:rsidR="00A15751" w:rsidRPr="00DA4655" w:rsidRDefault="00A15751" w:rsidP="008F35EE">
      <w:pPr>
        <w:numPr>
          <w:ilvl w:val="0"/>
          <w:numId w:val="6"/>
        </w:numPr>
        <w:spacing w:before="120" w:after="120"/>
        <w:rPr>
          <w:rFonts w:cs="Calibri"/>
          <w:szCs w:val="24"/>
        </w:rPr>
      </w:pPr>
      <w:r w:rsidRPr="00DA4655">
        <w:rPr>
          <w:rFonts w:cs="Calibri"/>
          <w:szCs w:val="24"/>
        </w:rPr>
        <w:t>the student has not been enrolled in Australian schooling for more than seven years, and</w:t>
      </w:r>
    </w:p>
    <w:p w:rsidR="00A15751" w:rsidRDefault="00A15751" w:rsidP="008F35EE">
      <w:pPr>
        <w:numPr>
          <w:ilvl w:val="0"/>
          <w:numId w:val="6"/>
        </w:numPr>
        <w:spacing w:before="120" w:after="120"/>
        <w:rPr>
          <w:rFonts w:cs="Calibri"/>
          <w:szCs w:val="24"/>
        </w:rPr>
      </w:pPr>
      <w:proofErr w:type="gramStart"/>
      <w:r w:rsidRPr="00DA4655">
        <w:rPr>
          <w:rFonts w:cs="Calibri"/>
          <w:szCs w:val="24"/>
        </w:rPr>
        <w:t>the</w:t>
      </w:r>
      <w:proofErr w:type="gramEnd"/>
      <w:r w:rsidRPr="00DA4655">
        <w:rPr>
          <w:rFonts w:cs="Calibri"/>
          <w:szCs w:val="24"/>
        </w:rPr>
        <w:t xml:space="preserve"> student requires additional support to assist them to develop English language proficiency.</w:t>
      </w:r>
      <w:r w:rsidR="00755FBA">
        <w:rPr>
          <w:rFonts w:cs="Calibri"/>
          <w:szCs w:val="24"/>
        </w:rPr>
        <w:br/>
      </w:r>
    </w:p>
    <w:p w:rsidR="00FC46F9" w:rsidRDefault="0013033B" w:rsidP="004F3428">
      <w:pPr>
        <w:spacing w:before="120" w:after="120"/>
        <w:rPr>
          <w:rFonts w:cs="Calibri"/>
          <w:szCs w:val="24"/>
        </w:rPr>
      </w:pPr>
      <w:r>
        <w:rPr>
          <w:rFonts w:cs="Calibri"/>
          <w:szCs w:val="24"/>
        </w:rPr>
        <w:t xml:space="preserve">This information is provided by parents/carers on the enrolment form and during the enrolment process. </w:t>
      </w:r>
      <w:r w:rsidR="00D55BD6">
        <w:rPr>
          <w:rFonts w:cs="Calibri"/>
          <w:szCs w:val="24"/>
        </w:rPr>
        <w:t>After</w:t>
      </w:r>
      <w:r w:rsidR="004F3428">
        <w:rPr>
          <w:rFonts w:cs="Calibri"/>
          <w:szCs w:val="24"/>
        </w:rPr>
        <w:t xml:space="preserve"> enrolment</w:t>
      </w:r>
      <w:r w:rsidR="00755FBA">
        <w:rPr>
          <w:rFonts w:cs="Calibri"/>
          <w:szCs w:val="24"/>
        </w:rPr>
        <w:t>,</w:t>
      </w:r>
      <w:r w:rsidR="004F3428">
        <w:rPr>
          <w:rFonts w:cs="Calibri"/>
          <w:szCs w:val="24"/>
        </w:rPr>
        <w:t xml:space="preserve"> a student is identified</w:t>
      </w:r>
      <w:r w:rsidR="00D55BD6">
        <w:rPr>
          <w:rFonts w:cs="Calibri"/>
          <w:szCs w:val="24"/>
        </w:rPr>
        <w:t xml:space="preserve"> as EALD if</w:t>
      </w:r>
      <w:r w:rsidR="004F3428">
        <w:rPr>
          <w:rFonts w:cs="Calibri"/>
          <w:szCs w:val="24"/>
        </w:rPr>
        <w:t xml:space="preserve"> these criteria</w:t>
      </w:r>
      <w:r w:rsidR="00840928">
        <w:rPr>
          <w:rFonts w:cs="Calibri"/>
          <w:szCs w:val="24"/>
        </w:rPr>
        <w:t xml:space="preserve"> are met</w:t>
      </w:r>
      <w:r w:rsidR="004F3428">
        <w:rPr>
          <w:rFonts w:cs="Calibri"/>
          <w:szCs w:val="24"/>
        </w:rPr>
        <w:t xml:space="preserve">. They are then assessed using the </w:t>
      </w:r>
      <w:r w:rsidR="00522A11">
        <w:rPr>
          <w:rFonts w:cs="Calibri"/>
          <w:szCs w:val="24"/>
        </w:rPr>
        <w:t>Language Performance Rating (</w:t>
      </w:r>
      <w:r w:rsidR="004F3428">
        <w:rPr>
          <w:rFonts w:cs="Calibri"/>
          <w:szCs w:val="24"/>
        </w:rPr>
        <w:t>LPR</w:t>
      </w:r>
      <w:r w:rsidR="00522A11">
        <w:rPr>
          <w:rFonts w:cs="Calibri"/>
          <w:szCs w:val="24"/>
        </w:rPr>
        <w:t>)</w:t>
      </w:r>
      <w:r w:rsidR="004F3428">
        <w:rPr>
          <w:rFonts w:cs="Calibri"/>
          <w:szCs w:val="24"/>
        </w:rPr>
        <w:t xml:space="preserve"> process</w:t>
      </w:r>
      <w:r w:rsidR="00D55BD6">
        <w:rPr>
          <w:rFonts w:cs="Calibri"/>
          <w:szCs w:val="24"/>
        </w:rPr>
        <w:t xml:space="preserve"> and assigned an interim rating</w:t>
      </w:r>
      <w:r w:rsidR="004F3428">
        <w:rPr>
          <w:rFonts w:cs="Calibri"/>
          <w:szCs w:val="24"/>
        </w:rPr>
        <w:t>.</w:t>
      </w:r>
      <w:r w:rsidR="006B41BD">
        <w:rPr>
          <w:rFonts w:cs="Calibri"/>
          <w:szCs w:val="24"/>
        </w:rPr>
        <w:t xml:space="preserve"> </w:t>
      </w:r>
      <w:r w:rsidR="00D55BD6">
        <w:rPr>
          <w:rFonts w:cs="Calibri"/>
          <w:szCs w:val="24"/>
        </w:rPr>
        <w:t xml:space="preserve">The full rating is allocated following the LPR moderation process. </w:t>
      </w:r>
      <w:r w:rsidR="006B41BD">
        <w:rPr>
          <w:rFonts w:cs="Calibri"/>
          <w:szCs w:val="24"/>
        </w:rPr>
        <w:t>Aboriginal and Torres Strait Islander students</w:t>
      </w:r>
      <w:r w:rsidR="00755FBA">
        <w:rPr>
          <w:rFonts w:cs="Calibri"/>
          <w:szCs w:val="24"/>
        </w:rPr>
        <w:t>,</w:t>
      </w:r>
      <w:r w:rsidR="006B41BD">
        <w:rPr>
          <w:rFonts w:cs="Calibri"/>
          <w:szCs w:val="24"/>
        </w:rPr>
        <w:t xml:space="preserve"> who meet the above criteria</w:t>
      </w:r>
      <w:r w:rsidR="00755FBA">
        <w:rPr>
          <w:rFonts w:cs="Calibri"/>
          <w:szCs w:val="24"/>
        </w:rPr>
        <w:t>,</w:t>
      </w:r>
      <w:r w:rsidR="006B41BD">
        <w:rPr>
          <w:rFonts w:cs="Calibri"/>
          <w:szCs w:val="24"/>
        </w:rPr>
        <w:t xml:space="preserve"> receive EALD support according to their LPR.</w:t>
      </w:r>
      <w:r w:rsidR="00ED090E">
        <w:rPr>
          <w:rFonts w:cs="Calibri"/>
          <w:szCs w:val="24"/>
        </w:rPr>
        <w:t xml:space="preserve"> In 2012</w:t>
      </w:r>
      <w:r w:rsidR="00755FBA">
        <w:rPr>
          <w:rFonts w:cs="Calibri"/>
          <w:szCs w:val="24"/>
        </w:rPr>
        <w:t>,</w:t>
      </w:r>
      <w:r w:rsidR="00ED090E">
        <w:rPr>
          <w:rFonts w:cs="Calibri"/>
          <w:szCs w:val="24"/>
        </w:rPr>
        <w:t xml:space="preserve"> there are </w:t>
      </w:r>
      <w:r w:rsidR="00B41525" w:rsidRPr="00B41525">
        <w:rPr>
          <w:rFonts w:cs="Calibri"/>
          <w:szCs w:val="24"/>
        </w:rPr>
        <w:t>136</w:t>
      </w:r>
      <w:r w:rsidR="00ED090E" w:rsidRPr="00B41525">
        <w:rPr>
          <w:rFonts w:cs="Calibri"/>
          <w:szCs w:val="24"/>
        </w:rPr>
        <w:t xml:space="preserve"> </w:t>
      </w:r>
      <w:r w:rsidR="00840928">
        <w:rPr>
          <w:rFonts w:cs="Calibri"/>
          <w:szCs w:val="24"/>
        </w:rPr>
        <w:t>Aboriginal and Torres Strait I</w:t>
      </w:r>
      <w:r w:rsidR="00D55BD6">
        <w:rPr>
          <w:rFonts w:cs="Calibri"/>
          <w:szCs w:val="24"/>
        </w:rPr>
        <w:t xml:space="preserve">slander </w:t>
      </w:r>
      <w:r w:rsidR="00ED090E" w:rsidRPr="00B41525">
        <w:rPr>
          <w:rFonts w:cs="Calibri"/>
          <w:szCs w:val="24"/>
        </w:rPr>
        <w:t>students</w:t>
      </w:r>
      <w:r w:rsidR="00ED090E">
        <w:rPr>
          <w:rFonts w:cs="Calibri"/>
          <w:szCs w:val="24"/>
        </w:rPr>
        <w:t xml:space="preserve"> </w:t>
      </w:r>
      <w:r w:rsidR="00D55BD6">
        <w:rPr>
          <w:rFonts w:cs="Calibri"/>
          <w:szCs w:val="24"/>
        </w:rPr>
        <w:t>who meet the EALD criteria</w:t>
      </w:r>
      <w:r w:rsidR="00ED090E">
        <w:rPr>
          <w:rFonts w:cs="Calibri"/>
          <w:szCs w:val="24"/>
        </w:rPr>
        <w:t>.</w:t>
      </w:r>
    </w:p>
    <w:p w:rsidR="00113DA3" w:rsidRPr="00DA4655" w:rsidRDefault="00113DA3" w:rsidP="004F3428">
      <w:pPr>
        <w:spacing w:before="120" w:after="120"/>
        <w:rPr>
          <w:rFonts w:cs="Calibri"/>
          <w:szCs w:val="24"/>
        </w:rPr>
      </w:pPr>
      <w:r>
        <w:rPr>
          <w:rFonts w:cs="Calibri"/>
          <w:szCs w:val="24"/>
        </w:rPr>
        <w:t>During the enrolment process</w:t>
      </w:r>
      <w:r w:rsidR="00755FBA">
        <w:rPr>
          <w:rFonts w:cs="Calibri"/>
          <w:szCs w:val="24"/>
        </w:rPr>
        <w:t>,</w:t>
      </w:r>
      <w:r>
        <w:rPr>
          <w:rFonts w:cs="Calibri"/>
          <w:szCs w:val="24"/>
        </w:rPr>
        <w:t xml:space="preserve"> the EALD teacher identifies </w:t>
      </w:r>
      <w:r w:rsidR="00F70AF9">
        <w:rPr>
          <w:rFonts w:cs="Calibri"/>
          <w:szCs w:val="24"/>
        </w:rPr>
        <w:t>the student a</w:t>
      </w:r>
      <w:r>
        <w:rPr>
          <w:rFonts w:cs="Calibri"/>
          <w:szCs w:val="24"/>
        </w:rPr>
        <w:t xml:space="preserve">s suitable for intensive support in an IEC and recommends this to the family. While strongly recommended, it is the parent/carer’s decision to take </w:t>
      </w:r>
      <w:r w:rsidR="00840928">
        <w:rPr>
          <w:rFonts w:cs="Calibri"/>
          <w:szCs w:val="24"/>
        </w:rPr>
        <w:t>up the offer of</w:t>
      </w:r>
      <w:r>
        <w:rPr>
          <w:rFonts w:cs="Calibri"/>
          <w:szCs w:val="24"/>
        </w:rPr>
        <w:t xml:space="preserve"> an IEC</w:t>
      </w:r>
      <w:r w:rsidR="00840928">
        <w:rPr>
          <w:rFonts w:cs="Calibri"/>
          <w:szCs w:val="24"/>
        </w:rPr>
        <w:t xml:space="preserve"> placement</w:t>
      </w:r>
      <w:r>
        <w:rPr>
          <w:rFonts w:cs="Calibri"/>
          <w:szCs w:val="24"/>
        </w:rPr>
        <w:t>.</w:t>
      </w:r>
    </w:p>
    <w:p w:rsidR="00D30143" w:rsidRDefault="00D30143" w:rsidP="00C13B7C">
      <w:pPr>
        <w:pStyle w:val="Heading2"/>
        <w:rPr>
          <w:rStyle w:val="BookTitle"/>
          <w:b/>
        </w:rPr>
      </w:pPr>
    </w:p>
    <w:p w:rsidR="008C6CFB" w:rsidRPr="00D964F0" w:rsidRDefault="00E8224F" w:rsidP="00C13B7C">
      <w:pPr>
        <w:pStyle w:val="Heading2"/>
        <w:rPr>
          <w:rStyle w:val="BookTitle"/>
          <w:b/>
        </w:rPr>
      </w:pPr>
      <w:bookmarkStart w:id="45" w:name="_Toc321213909"/>
      <w:bookmarkStart w:id="46" w:name="_Toc321224503"/>
      <w:bookmarkStart w:id="47" w:name="_Toc322080314"/>
      <w:bookmarkStart w:id="48" w:name="_Toc322083110"/>
      <w:r>
        <w:rPr>
          <w:rStyle w:val="BookTitle"/>
          <w:b/>
        </w:rPr>
        <w:t>3</w:t>
      </w:r>
      <w:r w:rsidR="005E5DB6" w:rsidRPr="00D964F0">
        <w:rPr>
          <w:rStyle w:val="BookTitle"/>
          <w:b/>
        </w:rPr>
        <w:t xml:space="preserve">.1 </w:t>
      </w:r>
      <w:r>
        <w:rPr>
          <w:rStyle w:val="BookTitle"/>
          <w:b/>
        </w:rPr>
        <w:t>Language Performance Ratings</w:t>
      </w:r>
      <w:r w:rsidR="007024A7" w:rsidRPr="00D964F0">
        <w:rPr>
          <w:rStyle w:val="BookTitle"/>
          <w:b/>
        </w:rPr>
        <w:t xml:space="preserve"> </w:t>
      </w:r>
      <w:r w:rsidR="00D30143">
        <w:rPr>
          <w:rStyle w:val="BookTitle"/>
          <w:b/>
        </w:rPr>
        <w:t>(LPR</w:t>
      </w:r>
      <w:r w:rsidR="008C6CFB" w:rsidRPr="00D964F0">
        <w:rPr>
          <w:rStyle w:val="BookTitle"/>
          <w:b/>
        </w:rPr>
        <w:t>)</w:t>
      </w:r>
      <w:bookmarkEnd w:id="45"/>
      <w:bookmarkEnd w:id="46"/>
      <w:bookmarkEnd w:id="47"/>
      <w:bookmarkEnd w:id="48"/>
    </w:p>
    <w:p w:rsidR="008C6CFB" w:rsidRDefault="008C6CFB" w:rsidP="00504B61">
      <w:pPr>
        <w:spacing w:before="120" w:after="120"/>
        <w:rPr>
          <w:rFonts w:cs="Calibri"/>
        </w:rPr>
      </w:pPr>
      <w:r w:rsidRPr="00DA4655">
        <w:rPr>
          <w:rFonts w:cs="Calibri"/>
        </w:rPr>
        <w:t>Language Performance Ratings</w:t>
      </w:r>
      <w:r w:rsidR="004D5E56">
        <w:rPr>
          <w:rFonts w:cs="Calibri"/>
        </w:rPr>
        <w:t xml:space="preserve"> (LPR)</w:t>
      </w:r>
      <w:r w:rsidRPr="00DA4655">
        <w:rPr>
          <w:rFonts w:cs="Calibri"/>
        </w:rPr>
        <w:t xml:space="preserve"> </w:t>
      </w:r>
      <w:proofErr w:type="gramStart"/>
      <w:r w:rsidRPr="00DA4655">
        <w:rPr>
          <w:rFonts w:cs="Calibri"/>
        </w:rPr>
        <w:t>are</w:t>
      </w:r>
      <w:proofErr w:type="gramEnd"/>
      <w:r w:rsidRPr="00DA4655">
        <w:rPr>
          <w:rFonts w:cs="Calibri"/>
        </w:rPr>
        <w:t xml:space="preserve"> the means by which an </w:t>
      </w:r>
      <w:r w:rsidR="00FC46F9">
        <w:rPr>
          <w:rFonts w:cs="Calibri"/>
        </w:rPr>
        <w:t xml:space="preserve">identified </w:t>
      </w:r>
      <w:r w:rsidRPr="00DA4655">
        <w:rPr>
          <w:rFonts w:cs="Calibri"/>
        </w:rPr>
        <w:t>EALD student’s English lang</w:t>
      </w:r>
      <w:r w:rsidR="00504B61">
        <w:rPr>
          <w:rFonts w:cs="Calibri"/>
        </w:rPr>
        <w:t>uage proficiency is described.</w:t>
      </w:r>
      <w:r w:rsidR="002E13C9">
        <w:rPr>
          <w:rFonts w:cs="Calibri"/>
        </w:rPr>
        <w:t xml:space="preserve"> Once determined, the LPR is used as the basis for</w:t>
      </w:r>
      <w:r w:rsidR="00D30143">
        <w:rPr>
          <w:rFonts w:cs="Calibri"/>
        </w:rPr>
        <w:t xml:space="preserve"> the</w:t>
      </w:r>
      <w:r w:rsidR="002E13C9">
        <w:rPr>
          <w:rFonts w:cs="Calibri"/>
        </w:rPr>
        <w:t xml:space="preserve"> funding allocation to the school that each student attends.</w:t>
      </w:r>
      <w:r w:rsidR="008C5C30">
        <w:rPr>
          <w:rFonts w:cs="Calibri"/>
        </w:rPr>
        <w:br/>
      </w:r>
    </w:p>
    <w:p w:rsidR="00D30143" w:rsidRDefault="002A7D49" w:rsidP="00504B61">
      <w:pPr>
        <w:spacing w:before="120" w:after="120"/>
        <w:rPr>
          <w:rFonts w:cs="Calibri"/>
          <w:b/>
        </w:rPr>
      </w:pPr>
      <w:r w:rsidRPr="002A7D49">
        <w:rPr>
          <w:rFonts w:cs="Calibri"/>
          <w:b/>
          <w:noProof/>
          <w:sz w:val="16"/>
          <w:szCs w:val="16"/>
          <w:lang w:eastAsia="en-AU"/>
        </w:rPr>
        <w:pict>
          <v:group id="_x0000_s1026" style="position:absolute;margin-left:77.85pt;margin-top:18.25pt;width:394.5pt;height:22.05pt;z-index:251655680" coordorigin="2982,13923" coordsize="7890,441">
            <v:shapetype id="_x0000_t202" coordsize="21600,21600" o:spt="202" path="m,l,21600r21600,l21600,xe">
              <v:stroke joinstyle="miter"/>
              <v:path gradientshapeok="t" o:connecttype="rect"/>
            </v:shapetype>
            <v:shape id="_x0000_s1027" type="#_x0000_t202" style="position:absolute;left:2982;top:13923;width:420;height:411;mso-width-relative:margin;mso-height-relative:margin" filled="f" stroked="f">
              <v:textbox style="mso-next-textbox:#_x0000_s1027">
                <w:txbxContent>
                  <w:p w:rsidR="00C16B47" w:rsidRPr="00504B61" w:rsidRDefault="00C16B47">
                    <w:pPr>
                      <w:rPr>
                        <w:b/>
                      </w:rPr>
                    </w:pPr>
                    <w:r w:rsidRPr="00504B61">
                      <w:rPr>
                        <w:b/>
                      </w:rPr>
                      <w:t>1</w:t>
                    </w:r>
                  </w:p>
                </w:txbxContent>
              </v:textbox>
            </v:shape>
            <v:shape id="_x0000_s1028" type="#_x0000_t202" style="position:absolute;left:4857;top:13938;width:420;height:411;mso-width-relative:margin;mso-height-relative:margin" filled="f" stroked="f">
              <v:textbox style="mso-next-textbox:#_x0000_s1028">
                <w:txbxContent>
                  <w:p w:rsidR="00C16B47" w:rsidRPr="00504B61" w:rsidRDefault="00C16B47" w:rsidP="00504B61">
                    <w:pPr>
                      <w:rPr>
                        <w:b/>
                      </w:rPr>
                    </w:pPr>
                    <w:r>
                      <w:rPr>
                        <w:b/>
                      </w:rPr>
                      <w:t>2</w:t>
                    </w:r>
                  </w:p>
                </w:txbxContent>
              </v:textbox>
            </v:shape>
            <v:shape id="_x0000_s1029" type="#_x0000_t202" style="position:absolute;left:6720;top:13938;width:420;height:411;mso-width-relative:margin;mso-height-relative:margin" filled="f" stroked="f">
              <v:textbox style="mso-next-textbox:#_x0000_s1029">
                <w:txbxContent>
                  <w:p w:rsidR="00C16B47" w:rsidRPr="00504B61" w:rsidRDefault="00C16B47" w:rsidP="00504B61">
                    <w:pPr>
                      <w:rPr>
                        <w:b/>
                      </w:rPr>
                    </w:pPr>
                    <w:r>
                      <w:rPr>
                        <w:b/>
                      </w:rPr>
                      <w:t>3</w:t>
                    </w:r>
                  </w:p>
                </w:txbxContent>
              </v:textbox>
            </v:shape>
            <v:shape id="_x0000_s1030" type="#_x0000_t202" style="position:absolute;left:8592;top:13938;width:420;height:411;mso-width-relative:margin;mso-height-relative:margin" filled="f" stroked="f">
              <v:textbox style="mso-next-textbox:#_x0000_s1030">
                <w:txbxContent>
                  <w:p w:rsidR="00C16B47" w:rsidRPr="00504B61" w:rsidRDefault="00C16B47" w:rsidP="00504B61">
                    <w:pPr>
                      <w:rPr>
                        <w:b/>
                      </w:rPr>
                    </w:pPr>
                    <w:r>
                      <w:rPr>
                        <w:b/>
                      </w:rPr>
                      <w:t>4</w:t>
                    </w:r>
                  </w:p>
                </w:txbxContent>
              </v:textbox>
            </v:shape>
            <v:shape id="_x0000_s1031" type="#_x0000_t202" style="position:absolute;left:10452;top:13953;width:420;height:411;mso-width-relative:margin;mso-height-relative:margin" filled="f" stroked="f">
              <v:textbox style="mso-next-textbox:#_x0000_s1031">
                <w:txbxContent>
                  <w:p w:rsidR="00C16B47" w:rsidRPr="00504B61" w:rsidRDefault="00C16B47" w:rsidP="00504B61">
                    <w:pPr>
                      <w:rPr>
                        <w:b/>
                      </w:rPr>
                    </w:pPr>
                    <w:r>
                      <w:rPr>
                        <w:b/>
                      </w:rPr>
                      <w:t>5</w:t>
                    </w:r>
                  </w:p>
                </w:txbxContent>
              </v:textbox>
            </v:shape>
          </v:group>
        </w:pict>
      </w:r>
      <w:r w:rsidR="00504B61" w:rsidRPr="00DA4655">
        <w:rPr>
          <w:rFonts w:cs="Calibri"/>
          <w:b/>
        </w:rPr>
        <w:t>ACT Language Performance Rating Scale</w:t>
      </w:r>
    </w:p>
    <w:p w:rsidR="00504B61" w:rsidRPr="00504B61" w:rsidRDefault="00504B61" w:rsidP="00504B61">
      <w:pPr>
        <w:spacing w:after="0"/>
        <w:rPr>
          <w:rFonts w:cs="Calibri"/>
          <w:sz w:val="16"/>
          <w:szCs w:val="16"/>
        </w:rPr>
      </w:pPr>
    </w:p>
    <w:tbl>
      <w:tblPr>
        <w:tblpPr w:leftFromText="180" w:rightFromText="180" w:vertAnchor="text" w:horzAnchor="margin" w:tblpY="68"/>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1871"/>
        <w:gridCol w:w="1871"/>
        <w:gridCol w:w="1871"/>
        <w:gridCol w:w="1871"/>
      </w:tblGrid>
      <w:tr w:rsidR="00504B61" w:rsidRPr="00DA4655" w:rsidTr="00504B61">
        <w:trPr>
          <w:trHeight w:val="20"/>
        </w:trPr>
        <w:tc>
          <w:tcPr>
            <w:tcW w:w="1871" w:type="dxa"/>
          </w:tcPr>
          <w:p w:rsidR="00504B61" w:rsidRPr="00DA4655" w:rsidRDefault="00504B61" w:rsidP="00504B61">
            <w:pPr>
              <w:spacing w:before="120" w:after="120"/>
              <w:jc w:val="right"/>
              <w:rPr>
                <w:b/>
                <w:sz w:val="18"/>
                <w:szCs w:val="18"/>
              </w:rPr>
            </w:pPr>
            <w:r w:rsidRPr="00DA4655">
              <w:rPr>
                <w:rFonts w:cs="Calibri"/>
                <w:b/>
                <w:bCs/>
                <w:sz w:val="18"/>
                <w:szCs w:val="18"/>
              </w:rPr>
              <w:t>Minimal</w:t>
            </w:r>
          </w:p>
        </w:tc>
        <w:tc>
          <w:tcPr>
            <w:tcW w:w="1871" w:type="dxa"/>
          </w:tcPr>
          <w:p w:rsidR="00504B61" w:rsidRPr="00DA4655" w:rsidRDefault="00504B61" w:rsidP="00504B61">
            <w:pPr>
              <w:spacing w:before="120" w:after="120"/>
              <w:jc w:val="right"/>
              <w:rPr>
                <w:b/>
                <w:sz w:val="18"/>
                <w:szCs w:val="18"/>
              </w:rPr>
            </w:pPr>
            <w:r w:rsidRPr="00DA4655">
              <w:rPr>
                <w:b/>
                <w:sz w:val="18"/>
                <w:szCs w:val="18"/>
              </w:rPr>
              <w:t>Well Below</w:t>
            </w:r>
          </w:p>
        </w:tc>
        <w:tc>
          <w:tcPr>
            <w:tcW w:w="1871" w:type="dxa"/>
          </w:tcPr>
          <w:p w:rsidR="00504B61" w:rsidRPr="00DA4655" w:rsidRDefault="00504B61" w:rsidP="00504B61">
            <w:pPr>
              <w:spacing w:before="120" w:after="120"/>
              <w:jc w:val="right"/>
              <w:rPr>
                <w:b/>
                <w:sz w:val="18"/>
                <w:szCs w:val="18"/>
              </w:rPr>
            </w:pPr>
            <w:r w:rsidRPr="00DA4655">
              <w:rPr>
                <w:b/>
                <w:sz w:val="18"/>
                <w:szCs w:val="18"/>
              </w:rPr>
              <w:t>Below</w:t>
            </w:r>
          </w:p>
        </w:tc>
        <w:tc>
          <w:tcPr>
            <w:tcW w:w="1871" w:type="dxa"/>
          </w:tcPr>
          <w:p w:rsidR="00504B61" w:rsidRPr="00DA4655" w:rsidRDefault="00504B61" w:rsidP="00504B61">
            <w:pPr>
              <w:spacing w:before="120" w:after="120"/>
              <w:jc w:val="right"/>
              <w:rPr>
                <w:b/>
                <w:sz w:val="18"/>
                <w:szCs w:val="18"/>
              </w:rPr>
            </w:pPr>
            <w:r w:rsidRPr="00DA4655">
              <w:rPr>
                <w:b/>
                <w:sz w:val="18"/>
                <w:szCs w:val="18"/>
              </w:rPr>
              <w:t>Approaching Average</w:t>
            </w:r>
          </w:p>
        </w:tc>
        <w:tc>
          <w:tcPr>
            <w:tcW w:w="1871" w:type="dxa"/>
          </w:tcPr>
          <w:p w:rsidR="00504B61" w:rsidRPr="00DA4655" w:rsidRDefault="00504B61" w:rsidP="00504B61">
            <w:pPr>
              <w:spacing w:before="120" w:after="120"/>
              <w:jc w:val="right"/>
              <w:rPr>
                <w:b/>
                <w:sz w:val="18"/>
                <w:szCs w:val="18"/>
              </w:rPr>
            </w:pPr>
            <w:r w:rsidRPr="00DA4655">
              <w:rPr>
                <w:b/>
                <w:sz w:val="18"/>
                <w:szCs w:val="18"/>
              </w:rPr>
              <w:t>Above</w:t>
            </w:r>
            <w:r>
              <w:rPr>
                <w:b/>
                <w:sz w:val="18"/>
                <w:szCs w:val="18"/>
              </w:rPr>
              <w:t xml:space="preserve"> Average</w:t>
            </w:r>
          </w:p>
        </w:tc>
      </w:tr>
    </w:tbl>
    <w:p w:rsidR="00D30143" w:rsidRDefault="00D30143" w:rsidP="00504B61">
      <w:pPr>
        <w:spacing w:before="120" w:after="120"/>
        <w:rPr>
          <w:rFonts w:cs="Calibri"/>
          <w:i/>
          <w:sz w:val="20"/>
          <w:szCs w:val="20"/>
        </w:rPr>
      </w:pPr>
    </w:p>
    <w:p w:rsidR="008C6CFB" w:rsidRPr="00DA4655" w:rsidRDefault="002E13C9" w:rsidP="00504B61">
      <w:pPr>
        <w:spacing w:before="120" w:after="120"/>
        <w:rPr>
          <w:rFonts w:cs="Calibri"/>
        </w:rPr>
      </w:pPr>
      <w:r>
        <w:rPr>
          <w:rFonts w:cs="Calibri"/>
        </w:rPr>
        <w:t xml:space="preserve">A student’s </w:t>
      </w:r>
      <w:r w:rsidR="008C6CFB" w:rsidRPr="00DA4655">
        <w:rPr>
          <w:rFonts w:cs="Calibri"/>
        </w:rPr>
        <w:t xml:space="preserve">English language performance is assessed on a scale of 0 to 5. A Language Performance Rating of 4 is considered to be equal to an average native English speaker for age and year level.  </w:t>
      </w:r>
    </w:p>
    <w:p w:rsidR="00723DC0" w:rsidRPr="009C291C" w:rsidRDefault="00E07FB0" w:rsidP="00504B61">
      <w:pPr>
        <w:spacing w:before="120" w:after="120"/>
        <w:rPr>
          <w:rFonts w:cs="Calibri"/>
          <w:color w:val="000000"/>
        </w:rPr>
      </w:pPr>
      <w:r w:rsidRPr="00DA4655">
        <w:rPr>
          <w:rFonts w:cs="Calibri"/>
          <w:szCs w:val="24"/>
        </w:rPr>
        <w:t xml:space="preserve">The </w:t>
      </w:r>
      <w:r w:rsidR="00715124">
        <w:rPr>
          <w:rFonts w:cs="Calibri"/>
          <w:szCs w:val="24"/>
        </w:rPr>
        <w:t>LPR</w:t>
      </w:r>
      <w:r w:rsidR="00B8470F">
        <w:rPr>
          <w:rFonts w:cs="Calibri"/>
          <w:szCs w:val="24"/>
        </w:rPr>
        <w:t xml:space="preserve"> for each EALD stu</w:t>
      </w:r>
      <w:r w:rsidR="00715124">
        <w:rPr>
          <w:rFonts w:cs="Calibri"/>
          <w:szCs w:val="24"/>
        </w:rPr>
        <w:t>dent is</w:t>
      </w:r>
      <w:r w:rsidRPr="00DA4655">
        <w:rPr>
          <w:rFonts w:cs="Calibri"/>
          <w:szCs w:val="24"/>
        </w:rPr>
        <w:t xml:space="preserve"> determined through a collaborative assessment process involving classroom teachers and EALD teacher.  The EALD teacher’s Language Performance Ratings are based on student performance in a set </w:t>
      </w:r>
      <w:r>
        <w:rPr>
          <w:rFonts w:cs="Calibri"/>
          <w:szCs w:val="24"/>
        </w:rPr>
        <w:t xml:space="preserve">of </w:t>
      </w:r>
      <w:r w:rsidRPr="00DA4655">
        <w:rPr>
          <w:rFonts w:cs="Calibri"/>
          <w:szCs w:val="24"/>
        </w:rPr>
        <w:t>speaking, listening, reading and writing moderation tasks whic</w:t>
      </w:r>
      <w:r w:rsidR="000C6C34">
        <w:rPr>
          <w:rFonts w:cs="Calibri"/>
          <w:szCs w:val="24"/>
        </w:rPr>
        <w:t>h are administered before the August Census</w:t>
      </w:r>
      <w:r w:rsidRPr="00DA4655">
        <w:rPr>
          <w:rFonts w:cs="Calibri"/>
          <w:szCs w:val="24"/>
        </w:rPr>
        <w:t xml:space="preserve">.  Moderation is a procedure that uses a set of common tasks for assessing EALD students’ English language proficiency in order to allocate Language Performance Ratings accurately.  </w:t>
      </w:r>
      <w:r w:rsidR="00723DC0" w:rsidRPr="00DA4655">
        <w:rPr>
          <w:rFonts w:cs="Calibri"/>
        </w:rPr>
        <w:t xml:space="preserve">A more detailed description of the assessment process </w:t>
      </w:r>
      <w:r w:rsidR="007024A7" w:rsidRPr="00DA4655">
        <w:rPr>
          <w:rFonts w:cs="Calibri"/>
        </w:rPr>
        <w:t xml:space="preserve">is </w:t>
      </w:r>
      <w:r w:rsidR="007024A7" w:rsidRPr="009C291C">
        <w:rPr>
          <w:rFonts w:cs="Calibri"/>
          <w:color w:val="000000"/>
        </w:rPr>
        <w:t xml:space="preserve">provided in Appendix </w:t>
      </w:r>
      <w:r w:rsidR="009C291C" w:rsidRPr="009C291C">
        <w:rPr>
          <w:rFonts w:cs="Calibri"/>
          <w:color w:val="000000"/>
        </w:rPr>
        <w:t>5</w:t>
      </w:r>
      <w:r w:rsidR="007024A7" w:rsidRPr="009C291C">
        <w:rPr>
          <w:rFonts w:cs="Calibri"/>
          <w:color w:val="000000"/>
        </w:rPr>
        <w:t>.</w:t>
      </w:r>
    </w:p>
    <w:p w:rsidR="00E8224F" w:rsidRDefault="00FA5235" w:rsidP="00567CB4">
      <w:r w:rsidRPr="00567CB4">
        <w:t>Students</w:t>
      </w:r>
      <w:r w:rsidR="00E8224F">
        <w:t xml:space="preserve"> who are identified as EALD</w:t>
      </w:r>
      <w:r w:rsidRPr="00567CB4">
        <w:t xml:space="preserve"> are assessed annually to allocate an LPR and resourced accordingly. A student </w:t>
      </w:r>
      <w:r w:rsidR="00D659C2" w:rsidRPr="00567CB4">
        <w:t>remains eligible for EALD targeted support for up to 7 years.</w:t>
      </w:r>
    </w:p>
    <w:p w:rsidR="00F752DF" w:rsidRDefault="00512C67" w:rsidP="00C13B7C">
      <w:pPr>
        <w:pStyle w:val="Heading2"/>
      </w:pPr>
      <w:r w:rsidRPr="00567CB4">
        <w:br w:type="page"/>
      </w:r>
      <w:bookmarkStart w:id="49" w:name="_Toc321213910"/>
      <w:bookmarkStart w:id="50" w:name="_Toc321224504"/>
      <w:bookmarkStart w:id="51" w:name="_Toc322080315"/>
      <w:bookmarkStart w:id="52" w:name="_Toc322083111"/>
      <w:r w:rsidR="00E8224F" w:rsidRPr="00E8224F">
        <w:rPr>
          <w:rStyle w:val="BookTitle"/>
          <w:b/>
        </w:rPr>
        <w:t>3</w:t>
      </w:r>
      <w:r w:rsidR="005E5DB6" w:rsidRPr="00E8224F">
        <w:rPr>
          <w:rStyle w:val="BookTitle"/>
          <w:b/>
        </w:rPr>
        <w:t xml:space="preserve">.2 </w:t>
      </w:r>
      <w:bookmarkEnd w:id="49"/>
      <w:bookmarkEnd w:id="50"/>
      <w:r w:rsidR="00E8224F">
        <w:rPr>
          <w:rStyle w:val="BookTitle"/>
          <w:b/>
        </w:rPr>
        <w:t xml:space="preserve">Distribution of EALD Students </w:t>
      </w:r>
      <w:r w:rsidR="006F711E">
        <w:rPr>
          <w:rStyle w:val="BookTitle"/>
          <w:b/>
        </w:rPr>
        <w:t>against</w:t>
      </w:r>
      <w:r w:rsidR="00E8224F">
        <w:rPr>
          <w:rStyle w:val="BookTitle"/>
          <w:b/>
        </w:rPr>
        <w:t xml:space="preserve"> LPR</w:t>
      </w:r>
      <w:bookmarkEnd w:id="51"/>
      <w:bookmarkEnd w:id="52"/>
    </w:p>
    <w:p w:rsidR="00E8224F" w:rsidRDefault="002A24F5" w:rsidP="00504B61">
      <w:pPr>
        <w:spacing w:before="120" w:after="120"/>
        <w:rPr>
          <w:rFonts w:cs="Calibri"/>
        </w:rPr>
      </w:pPr>
      <w:r>
        <w:rPr>
          <w:rFonts w:cs="Calibri"/>
        </w:rPr>
        <w:t xml:space="preserve">After the assessment and moderation process, each student’s LPR is entered into a system database providing the LPR distribution across all ACT </w:t>
      </w:r>
      <w:r w:rsidR="00C93DBB">
        <w:rPr>
          <w:rFonts w:cs="Calibri"/>
        </w:rPr>
        <w:t>public schools.</w:t>
      </w:r>
    </w:p>
    <w:p w:rsidR="002A24F5" w:rsidRDefault="00F03F83" w:rsidP="00504B61">
      <w:pPr>
        <w:spacing w:before="120" w:after="120"/>
        <w:rPr>
          <w:rFonts w:cs="Calibri"/>
          <w:b/>
          <w:i/>
        </w:rPr>
      </w:pPr>
      <w:r w:rsidRPr="009C42B8">
        <w:rPr>
          <w:rFonts w:cs="Calibri"/>
        </w:rPr>
        <w:t>Table 1a shows the distribution of EALD students against the Language Performance Ratings each year since 2007.</w:t>
      </w:r>
    </w:p>
    <w:p w:rsidR="00FC5D39" w:rsidRPr="00B31CEB" w:rsidRDefault="002A24F5" w:rsidP="00B31CEB">
      <w:pPr>
        <w:pStyle w:val="Default"/>
        <w:rPr>
          <w:rFonts w:ascii="Calibri" w:hAnsi="Calibri" w:cs="Calibri"/>
          <w:b/>
          <w:i/>
          <w:sz w:val="20"/>
          <w:szCs w:val="20"/>
        </w:rPr>
      </w:pPr>
      <w:r w:rsidRPr="00B31CEB">
        <w:rPr>
          <w:rFonts w:ascii="Calibri" w:hAnsi="Calibri" w:cs="Calibri"/>
          <w:b/>
          <w:i/>
          <w:sz w:val="20"/>
          <w:szCs w:val="20"/>
        </w:rPr>
        <w:t>Table 1a</w:t>
      </w:r>
      <w:r w:rsidR="00E8224F">
        <w:rPr>
          <w:rFonts w:ascii="Calibri" w:hAnsi="Calibri" w:cs="Calibri"/>
          <w:b/>
          <w:i/>
          <w:sz w:val="20"/>
          <w:szCs w:val="20"/>
        </w:rPr>
        <w:t xml:space="preserve"> </w:t>
      </w:r>
      <w:r w:rsidR="00F752DF" w:rsidRPr="00B31CEB">
        <w:rPr>
          <w:rFonts w:ascii="Calibri" w:hAnsi="Calibri" w:cs="Calibri"/>
          <w:b/>
          <w:i/>
          <w:sz w:val="20"/>
          <w:szCs w:val="20"/>
        </w:rPr>
        <w:t>- Distribution of students against LPR</w:t>
      </w:r>
    </w:p>
    <w:tbl>
      <w:tblPr>
        <w:tblpPr w:leftFromText="180" w:rightFromText="180" w:vertAnchor="text" w:horzAnchor="margin" w:tblpX="216" w:tblpY="31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1134"/>
        <w:gridCol w:w="993"/>
        <w:gridCol w:w="1134"/>
        <w:gridCol w:w="992"/>
        <w:gridCol w:w="992"/>
      </w:tblGrid>
      <w:tr w:rsidR="00FC5D39" w:rsidRPr="00DA4655" w:rsidTr="00E8224F">
        <w:trPr>
          <w:trHeight w:val="300"/>
        </w:trPr>
        <w:tc>
          <w:tcPr>
            <w:tcW w:w="2518" w:type="dxa"/>
            <w:vMerge w:val="restart"/>
            <w:shd w:val="clear" w:color="auto" w:fill="auto"/>
            <w:noWrap/>
            <w:vAlign w:val="center"/>
            <w:hideMark/>
          </w:tcPr>
          <w:p w:rsidR="00FC5D39" w:rsidRPr="00DA4655" w:rsidRDefault="00F03F83" w:rsidP="00F03F83">
            <w:pPr>
              <w:spacing w:before="120" w:after="120"/>
              <w:rPr>
                <w:rFonts w:eastAsia="Times New Roman" w:cs="Calibri"/>
                <w:b/>
                <w:bCs/>
                <w:sz w:val="20"/>
                <w:szCs w:val="20"/>
                <w:lang w:eastAsia="en-AU"/>
              </w:rPr>
            </w:pPr>
            <w:r>
              <w:rPr>
                <w:rFonts w:eastAsia="Times New Roman" w:cs="Calibri"/>
                <w:b/>
                <w:bCs/>
                <w:sz w:val="20"/>
                <w:szCs w:val="20"/>
                <w:lang w:eastAsia="en-AU"/>
              </w:rPr>
              <w:t>February</w:t>
            </w:r>
            <w:r w:rsidR="00FC5D39" w:rsidRPr="00DA4655">
              <w:rPr>
                <w:rFonts w:eastAsia="Times New Roman" w:cs="Calibri"/>
                <w:b/>
                <w:bCs/>
                <w:sz w:val="20"/>
                <w:szCs w:val="20"/>
                <w:lang w:eastAsia="en-AU"/>
              </w:rPr>
              <w:t xml:space="preserve"> Census</w:t>
            </w:r>
            <w:r w:rsidR="00FC5D39">
              <w:rPr>
                <w:rFonts w:eastAsia="Times New Roman" w:cs="Calibri"/>
                <w:b/>
                <w:bCs/>
                <w:sz w:val="20"/>
                <w:szCs w:val="20"/>
                <w:lang w:eastAsia="en-AU"/>
              </w:rPr>
              <w:t xml:space="preserve"> </w:t>
            </w:r>
          </w:p>
        </w:tc>
        <w:tc>
          <w:tcPr>
            <w:tcW w:w="6237" w:type="dxa"/>
            <w:gridSpan w:val="6"/>
            <w:shd w:val="clear" w:color="auto" w:fill="auto"/>
            <w:noWrap/>
            <w:vAlign w:val="bottom"/>
            <w:hideMark/>
          </w:tcPr>
          <w:p w:rsidR="00FC5D39" w:rsidRPr="00DA4655" w:rsidRDefault="00FC5D39" w:rsidP="00FC5D39">
            <w:pPr>
              <w:spacing w:before="120" w:after="120"/>
              <w:rPr>
                <w:rFonts w:eastAsia="Times New Roman" w:cs="Calibri"/>
                <w:b/>
                <w:bCs/>
                <w:sz w:val="20"/>
                <w:szCs w:val="20"/>
                <w:lang w:eastAsia="en-AU"/>
              </w:rPr>
            </w:pPr>
            <w:r w:rsidRPr="00DA4655">
              <w:rPr>
                <w:rFonts w:eastAsia="Times New Roman" w:cs="Calibri"/>
                <w:b/>
                <w:bCs/>
                <w:sz w:val="20"/>
                <w:szCs w:val="20"/>
                <w:lang w:eastAsia="en-AU"/>
              </w:rPr>
              <w:t>LPR</w:t>
            </w:r>
            <w:r>
              <w:rPr>
                <w:rFonts w:eastAsia="Times New Roman" w:cs="Calibri"/>
                <w:b/>
                <w:bCs/>
                <w:sz w:val="20"/>
                <w:szCs w:val="20"/>
                <w:lang w:eastAsia="en-AU"/>
              </w:rPr>
              <w:t xml:space="preserve"> </w:t>
            </w:r>
            <w:r w:rsidRPr="00DA4655">
              <w:rPr>
                <w:rFonts w:eastAsia="Times New Roman" w:cs="Calibri"/>
                <w:b/>
                <w:bCs/>
                <w:sz w:val="20"/>
                <w:szCs w:val="20"/>
                <w:lang w:eastAsia="en-AU"/>
              </w:rPr>
              <w:t xml:space="preserve"> Range - Number of Students</w:t>
            </w:r>
          </w:p>
        </w:tc>
      </w:tr>
      <w:tr w:rsidR="00E8224F" w:rsidRPr="00DA4655" w:rsidTr="00E8224F">
        <w:trPr>
          <w:trHeight w:val="300"/>
        </w:trPr>
        <w:tc>
          <w:tcPr>
            <w:tcW w:w="2518" w:type="dxa"/>
            <w:vMerge/>
            <w:vAlign w:val="center"/>
            <w:hideMark/>
          </w:tcPr>
          <w:p w:rsidR="00E8224F" w:rsidRPr="00DA4655" w:rsidRDefault="00E8224F" w:rsidP="00FC5D39">
            <w:pPr>
              <w:spacing w:before="120" w:after="120"/>
              <w:rPr>
                <w:rFonts w:eastAsia="Times New Roman" w:cs="Calibri"/>
                <w:b/>
                <w:bCs/>
                <w:sz w:val="20"/>
                <w:szCs w:val="20"/>
                <w:lang w:eastAsia="en-AU"/>
              </w:rPr>
            </w:pPr>
          </w:p>
        </w:tc>
        <w:tc>
          <w:tcPr>
            <w:tcW w:w="992" w:type="dxa"/>
            <w:shd w:val="clear" w:color="auto" w:fill="auto"/>
            <w:noWrap/>
            <w:vAlign w:val="bottom"/>
            <w:hideMark/>
          </w:tcPr>
          <w:p w:rsidR="00E8224F" w:rsidRDefault="00E8224F" w:rsidP="00F03F83">
            <w:pPr>
              <w:spacing w:before="40" w:after="40"/>
              <w:rPr>
                <w:rFonts w:eastAsia="Times New Roman" w:cs="Calibri"/>
                <w:b/>
                <w:bCs/>
                <w:sz w:val="20"/>
                <w:szCs w:val="20"/>
                <w:lang w:eastAsia="en-AU"/>
              </w:rPr>
            </w:pPr>
            <w:r w:rsidRPr="00DA4655">
              <w:rPr>
                <w:rFonts w:eastAsia="Times New Roman" w:cs="Calibri"/>
                <w:b/>
                <w:bCs/>
                <w:sz w:val="20"/>
                <w:szCs w:val="20"/>
                <w:lang w:eastAsia="en-AU"/>
              </w:rPr>
              <w:t>0-1.0</w:t>
            </w:r>
          </w:p>
          <w:p w:rsidR="00E8224F" w:rsidRPr="00F06166" w:rsidRDefault="00E8224F" w:rsidP="00F03F83">
            <w:pPr>
              <w:spacing w:before="40" w:after="40"/>
              <w:rPr>
                <w:rFonts w:eastAsia="Times New Roman" w:cs="Calibri"/>
                <w:b/>
                <w:bCs/>
                <w:sz w:val="16"/>
                <w:szCs w:val="16"/>
                <w:lang w:eastAsia="en-AU"/>
              </w:rPr>
            </w:pPr>
            <w:r w:rsidRPr="00F06166">
              <w:rPr>
                <w:rFonts w:eastAsia="Times New Roman" w:cs="Calibri"/>
                <w:b/>
                <w:bCs/>
                <w:sz w:val="16"/>
                <w:szCs w:val="16"/>
                <w:lang w:eastAsia="en-AU"/>
              </w:rPr>
              <w:t>Minimal</w:t>
            </w:r>
          </w:p>
        </w:tc>
        <w:tc>
          <w:tcPr>
            <w:tcW w:w="1134" w:type="dxa"/>
            <w:shd w:val="clear" w:color="auto" w:fill="auto"/>
            <w:noWrap/>
            <w:vAlign w:val="bottom"/>
            <w:hideMark/>
          </w:tcPr>
          <w:p w:rsidR="00E8224F" w:rsidRDefault="00E8224F" w:rsidP="00F03F83">
            <w:pPr>
              <w:spacing w:before="40" w:after="40"/>
              <w:rPr>
                <w:rFonts w:eastAsia="Times New Roman" w:cs="Calibri"/>
                <w:b/>
                <w:bCs/>
                <w:sz w:val="20"/>
                <w:szCs w:val="20"/>
                <w:lang w:eastAsia="en-AU"/>
              </w:rPr>
            </w:pPr>
            <w:r w:rsidRPr="00DA4655">
              <w:rPr>
                <w:rFonts w:eastAsia="Times New Roman" w:cs="Calibri"/>
                <w:b/>
                <w:bCs/>
                <w:sz w:val="20"/>
                <w:szCs w:val="20"/>
                <w:lang w:eastAsia="en-AU"/>
              </w:rPr>
              <w:t>1.25-1.75</w:t>
            </w:r>
          </w:p>
          <w:p w:rsidR="00E8224F" w:rsidRPr="00FD23A8" w:rsidRDefault="00E8224F" w:rsidP="00F03F83">
            <w:pPr>
              <w:spacing w:before="40" w:after="40"/>
              <w:rPr>
                <w:rFonts w:eastAsia="Times New Roman" w:cs="Calibri"/>
                <w:b/>
                <w:bCs/>
                <w:sz w:val="16"/>
                <w:szCs w:val="16"/>
                <w:lang w:eastAsia="en-AU"/>
              </w:rPr>
            </w:pPr>
            <w:r w:rsidRPr="00FD23A8">
              <w:rPr>
                <w:rFonts w:eastAsia="Times New Roman" w:cs="Calibri"/>
                <w:b/>
                <w:bCs/>
                <w:sz w:val="16"/>
                <w:szCs w:val="16"/>
                <w:lang w:eastAsia="en-AU"/>
              </w:rPr>
              <w:t>Well below</w:t>
            </w:r>
          </w:p>
        </w:tc>
        <w:tc>
          <w:tcPr>
            <w:tcW w:w="993" w:type="dxa"/>
            <w:shd w:val="clear" w:color="auto" w:fill="auto"/>
            <w:noWrap/>
            <w:vAlign w:val="bottom"/>
            <w:hideMark/>
          </w:tcPr>
          <w:p w:rsidR="00E8224F" w:rsidRDefault="00E8224F" w:rsidP="00F03F83">
            <w:pPr>
              <w:spacing w:before="40" w:after="40"/>
              <w:rPr>
                <w:rFonts w:eastAsia="Times New Roman" w:cs="Calibri"/>
                <w:b/>
                <w:bCs/>
                <w:sz w:val="20"/>
                <w:szCs w:val="20"/>
                <w:lang w:eastAsia="en-AU"/>
              </w:rPr>
            </w:pPr>
            <w:r w:rsidRPr="00DA4655">
              <w:rPr>
                <w:rFonts w:eastAsia="Times New Roman" w:cs="Calibri"/>
                <w:b/>
                <w:bCs/>
                <w:sz w:val="20"/>
                <w:szCs w:val="20"/>
                <w:lang w:eastAsia="en-AU"/>
              </w:rPr>
              <w:t>2.0-2.75</w:t>
            </w:r>
          </w:p>
          <w:p w:rsidR="00E8224F" w:rsidRPr="00F06166" w:rsidRDefault="00E8224F" w:rsidP="00F03F83">
            <w:pPr>
              <w:spacing w:before="40" w:after="40"/>
              <w:rPr>
                <w:rFonts w:eastAsia="Times New Roman" w:cs="Calibri"/>
                <w:b/>
                <w:bCs/>
                <w:sz w:val="16"/>
                <w:szCs w:val="16"/>
                <w:lang w:eastAsia="en-AU"/>
              </w:rPr>
            </w:pPr>
            <w:r w:rsidRPr="00F06166">
              <w:rPr>
                <w:rFonts w:eastAsia="Times New Roman" w:cs="Calibri"/>
                <w:b/>
                <w:bCs/>
                <w:sz w:val="16"/>
                <w:szCs w:val="16"/>
                <w:lang w:eastAsia="en-AU"/>
              </w:rPr>
              <w:t xml:space="preserve">Below </w:t>
            </w:r>
          </w:p>
        </w:tc>
        <w:tc>
          <w:tcPr>
            <w:tcW w:w="1134" w:type="dxa"/>
            <w:shd w:val="clear" w:color="auto" w:fill="auto"/>
            <w:noWrap/>
            <w:vAlign w:val="bottom"/>
            <w:hideMark/>
          </w:tcPr>
          <w:p w:rsidR="00E8224F" w:rsidRDefault="00E8224F" w:rsidP="00F03F83">
            <w:pPr>
              <w:spacing w:before="40" w:after="40"/>
              <w:rPr>
                <w:rFonts w:eastAsia="Times New Roman" w:cs="Calibri"/>
                <w:b/>
                <w:bCs/>
                <w:sz w:val="20"/>
                <w:szCs w:val="20"/>
                <w:lang w:eastAsia="en-AU"/>
              </w:rPr>
            </w:pPr>
            <w:r w:rsidRPr="00DA4655">
              <w:rPr>
                <w:rFonts w:eastAsia="Times New Roman" w:cs="Calibri"/>
                <w:b/>
                <w:bCs/>
                <w:sz w:val="20"/>
                <w:szCs w:val="20"/>
                <w:lang w:eastAsia="en-AU"/>
              </w:rPr>
              <w:t>3-3.75</w:t>
            </w:r>
          </w:p>
          <w:p w:rsidR="00E8224F" w:rsidRPr="00F06166" w:rsidRDefault="00E8224F" w:rsidP="00F03F83">
            <w:pPr>
              <w:spacing w:before="40" w:after="40"/>
              <w:rPr>
                <w:rFonts w:eastAsia="Times New Roman" w:cs="Calibri"/>
                <w:b/>
                <w:bCs/>
                <w:sz w:val="16"/>
                <w:szCs w:val="16"/>
                <w:lang w:eastAsia="en-AU"/>
              </w:rPr>
            </w:pPr>
            <w:r w:rsidRPr="00F06166">
              <w:rPr>
                <w:rFonts w:eastAsia="Times New Roman" w:cs="Calibri"/>
                <w:b/>
                <w:bCs/>
                <w:sz w:val="16"/>
                <w:szCs w:val="16"/>
                <w:lang w:eastAsia="en-AU"/>
              </w:rPr>
              <w:t xml:space="preserve">Approaching average </w:t>
            </w:r>
          </w:p>
        </w:tc>
        <w:tc>
          <w:tcPr>
            <w:tcW w:w="992" w:type="dxa"/>
            <w:shd w:val="clear" w:color="auto" w:fill="FFFFFF"/>
            <w:noWrap/>
            <w:vAlign w:val="bottom"/>
            <w:hideMark/>
          </w:tcPr>
          <w:p w:rsidR="00E8224F" w:rsidRDefault="00E8224F" w:rsidP="00F03F83">
            <w:pPr>
              <w:spacing w:before="40" w:after="40"/>
              <w:rPr>
                <w:rFonts w:eastAsia="Times New Roman" w:cs="Calibri"/>
                <w:b/>
                <w:bCs/>
                <w:sz w:val="20"/>
                <w:szCs w:val="20"/>
                <w:lang w:eastAsia="en-AU"/>
              </w:rPr>
            </w:pPr>
            <w:r w:rsidRPr="00DA4655">
              <w:rPr>
                <w:rFonts w:eastAsia="Times New Roman" w:cs="Calibri"/>
                <w:b/>
                <w:bCs/>
                <w:sz w:val="20"/>
                <w:szCs w:val="20"/>
                <w:shd w:val="clear" w:color="auto" w:fill="FFFFFF"/>
                <w:lang w:eastAsia="en-AU"/>
              </w:rPr>
              <w:t>4.0-5.</w:t>
            </w:r>
            <w:r w:rsidRPr="00DA4655">
              <w:rPr>
                <w:rFonts w:eastAsia="Times New Roman" w:cs="Calibri"/>
                <w:b/>
                <w:bCs/>
                <w:sz w:val="20"/>
                <w:szCs w:val="20"/>
                <w:lang w:eastAsia="en-AU"/>
              </w:rPr>
              <w:t>0</w:t>
            </w:r>
          </w:p>
          <w:p w:rsidR="00E8224F" w:rsidRPr="00F06166" w:rsidRDefault="00E8224F" w:rsidP="00F03F83">
            <w:pPr>
              <w:spacing w:before="40" w:after="40"/>
              <w:rPr>
                <w:rFonts w:eastAsia="Times New Roman" w:cs="Calibri"/>
                <w:b/>
                <w:bCs/>
                <w:sz w:val="16"/>
                <w:szCs w:val="16"/>
                <w:lang w:eastAsia="en-AU"/>
              </w:rPr>
            </w:pPr>
            <w:r w:rsidRPr="00F06166">
              <w:rPr>
                <w:rFonts w:eastAsia="Times New Roman" w:cs="Calibri"/>
                <w:b/>
                <w:bCs/>
                <w:sz w:val="16"/>
                <w:szCs w:val="16"/>
                <w:lang w:eastAsia="en-AU"/>
              </w:rPr>
              <w:t>Above average</w:t>
            </w:r>
          </w:p>
        </w:tc>
        <w:tc>
          <w:tcPr>
            <w:tcW w:w="992" w:type="dxa"/>
            <w:shd w:val="clear" w:color="auto" w:fill="auto"/>
            <w:noWrap/>
            <w:vAlign w:val="center"/>
            <w:hideMark/>
          </w:tcPr>
          <w:p w:rsidR="00E8224F" w:rsidRPr="00DA4655" w:rsidRDefault="00E8224F" w:rsidP="00F03F83">
            <w:pPr>
              <w:spacing w:before="40" w:after="40"/>
              <w:rPr>
                <w:rFonts w:eastAsia="Times New Roman" w:cs="Calibri"/>
                <w:b/>
                <w:bCs/>
                <w:sz w:val="20"/>
                <w:szCs w:val="20"/>
                <w:lang w:eastAsia="en-AU"/>
              </w:rPr>
            </w:pPr>
            <w:r w:rsidRPr="00DA4655">
              <w:rPr>
                <w:rFonts w:eastAsia="Times New Roman" w:cs="Calibri"/>
                <w:b/>
                <w:bCs/>
                <w:sz w:val="20"/>
                <w:szCs w:val="20"/>
                <w:lang w:eastAsia="en-AU"/>
              </w:rPr>
              <w:t>Total</w:t>
            </w:r>
          </w:p>
        </w:tc>
      </w:tr>
      <w:tr w:rsidR="00F03F83" w:rsidRPr="0006227A" w:rsidTr="00E8224F">
        <w:trPr>
          <w:trHeight w:val="20"/>
        </w:trPr>
        <w:tc>
          <w:tcPr>
            <w:tcW w:w="2518" w:type="dxa"/>
            <w:shd w:val="clear" w:color="auto" w:fill="auto"/>
            <w:noWrap/>
            <w:vAlign w:val="bottom"/>
            <w:hideMark/>
          </w:tcPr>
          <w:p w:rsidR="00F03F83" w:rsidRPr="00F03F83" w:rsidRDefault="00F03F83" w:rsidP="00F03F83">
            <w:pPr>
              <w:spacing w:before="120" w:after="120"/>
              <w:rPr>
                <w:rFonts w:eastAsia="Times New Roman" w:cs="Calibri"/>
                <w:sz w:val="20"/>
                <w:szCs w:val="20"/>
                <w:lang w:eastAsia="en-AU"/>
              </w:rPr>
            </w:pPr>
            <w:r w:rsidRPr="00F03F83">
              <w:rPr>
                <w:rFonts w:eastAsia="Times New Roman" w:cs="Calibri"/>
                <w:sz w:val="20"/>
                <w:szCs w:val="20"/>
                <w:lang w:eastAsia="en-AU"/>
              </w:rPr>
              <w:t>2007</w:t>
            </w:r>
          </w:p>
        </w:tc>
        <w:tc>
          <w:tcPr>
            <w:tcW w:w="992" w:type="dxa"/>
            <w:shd w:val="clear" w:color="auto" w:fill="auto"/>
            <w:noWrap/>
            <w:vAlign w:val="bottom"/>
            <w:hideMark/>
          </w:tcPr>
          <w:p w:rsidR="00F03F83" w:rsidRPr="00F03F83" w:rsidRDefault="00F03F83" w:rsidP="00F03F83">
            <w:pPr>
              <w:spacing w:before="120" w:after="120"/>
              <w:rPr>
                <w:rFonts w:eastAsia="Times New Roman" w:cs="Calibri"/>
                <w:sz w:val="20"/>
                <w:szCs w:val="20"/>
                <w:lang w:eastAsia="en-AU"/>
              </w:rPr>
            </w:pPr>
            <w:r w:rsidRPr="00F03F83">
              <w:rPr>
                <w:rFonts w:eastAsia="Times New Roman" w:cs="Calibri"/>
                <w:sz w:val="20"/>
                <w:szCs w:val="20"/>
                <w:lang w:eastAsia="en-AU"/>
              </w:rPr>
              <w:t>587</w:t>
            </w:r>
          </w:p>
        </w:tc>
        <w:tc>
          <w:tcPr>
            <w:tcW w:w="1134" w:type="dxa"/>
            <w:shd w:val="clear" w:color="auto" w:fill="auto"/>
            <w:noWrap/>
            <w:vAlign w:val="bottom"/>
            <w:hideMark/>
          </w:tcPr>
          <w:p w:rsidR="00F03F83" w:rsidRPr="00F03F83" w:rsidRDefault="00F03F83" w:rsidP="00F03F83">
            <w:pPr>
              <w:spacing w:before="120" w:after="120"/>
              <w:rPr>
                <w:rFonts w:eastAsia="Times New Roman" w:cs="Calibri"/>
                <w:sz w:val="20"/>
                <w:szCs w:val="20"/>
                <w:lang w:eastAsia="en-AU"/>
              </w:rPr>
            </w:pPr>
            <w:r w:rsidRPr="00F03F83">
              <w:rPr>
                <w:rFonts w:eastAsia="Times New Roman" w:cs="Calibri"/>
                <w:sz w:val="20"/>
                <w:szCs w:val="20"/>
                <w:lang w:eastAsia="en-AU"/>
              </w:rPr>
              <w:t>619</w:t>
            </w:r>
          </w:p>
        </w:tc>
        <w:tc>
          <w:tcPr>
            <w:tcW w:w="993" w:type="dxa"/>
            <w:shd w:val="clear" w:color="auto" w:fill="auto"/>
            <w:noWrap/>
            <w:vAlign w:val="bottom"/>
            <w:hideMark/>
          </w:tcPr>
          <w:p w:rsidR="00F03F83" w:rsidRPr="00F03F83" w:rsidRDefault="00F03F83" w:rsidP="00F03F83">
            <w:pPr>
              <w:spacing w:before="120" w:after="120"/>
              <w:rPr>
                <w:rFonts w:eastAsia="Times New Roman" w:cs="Calibri"/>
                <w:sz w:val="20"/>
                <w:szCs w:val="20"/>
                <w:lang w:eastAsia="en-AU"/>
              </w:rPr>
            </w:pPr>
            <w:r w:rsidRPr="00F03F83">
              <w:rPr>
                <w:rFonts w:eastAsia="Times New Roman" w:cs="Calibri"/>
                <w:sz w:val="20"/>
                <w:szCs w:val="20"/>
                <w:lang w:eastAsia="en-AU"/>
              </w:rPr>
              <w:t>1120</w:t>
            </w:r>
          </w:p>
        </w:tc>
        <w:tc>
          <w:tcPr>
            <w:tcW w:w="1134" w:type="dxa"/>
            <w:shd w:val="clear" w:color="auto" w:fill="auto"/>
            <w:noWrap/>
            <w:vAlign w:val="bottom"/>
            <w:hideMark/>
          </w:tcPr>
          <w:p w:rsidR="00F03F83" w:rsidRPr="00F03F83" w:rsidRDefault="00F03F83" w:rsidP="00F03F83">
            <w:pPr>
              <w:spacing w:before="120" w:after="120"/>
              <w:rPr>
                <w:rFonts w:eastAsia="Times New Roman" w:cs="Calibri"/>
                <w:sz w:val="20"/>
                <w:szCs w:val="20"/>
                <w:lang w:eastAsia="en-AU"/>
              </w:rPr>
            </w:pPr>
            <w:r w:rsidRPr="00F03F83">
              <w:rPr>
                <w:rFonts w:eastAsia="Times New Roman" w:cs="Calibri"/>
                <w:sz w:val="20"/>
                <w:szCs w:val="20"/>
                <w:lang w:eastAsia="en-AU"/>
              </w:rPr>
              <w:t>667</w:t>
            </w:r>
          </w:p>
        </w:tc>
        <w:tc>
          <w:tcPr>
            <w:tcW w:w="992" w:type="dxa"/>
            <w:shd w:val="clear" w:color="auto" w:fill="FFFFFF"/>
            <w:noWrap/>
            <w:vAlign w:val="bottom"/>
            <w:hideMark/>
          </w:tcPr>
          <w:p w:rsidR="00F03F83" w:rsidRPr="00F03F83" w:rsidRDefault="00F03F83" w:rsidP="00F03F83">
            <w:pPr>
              <w:spacing w:before="120" w:after="120"/>
              <w:rPr>
                <w:rFonts w:eastAsia="Times New Roman" w:cs="Calibri"/>
                <w:sz w:val="20"/>
                <w:szCs w:val="20"/>
                <w:lang w:eastAsia="en-AU"/>
              </w:rPr>
            </w:pPr>
            <w:r w:rsidRPr="00F03F83">
              <w:rPr>
                <w:rFonts w:eastAsia="Times New Roman" w:cs="Calibri"/>
                <w:sz w:val="20"/>
                <w:szCs w:val="20"/>
                <w:lang w:eastAsia="en-AU"/>
              </w:rPr>
              <w:t>492</w:t>
            </w:r>
          </w:p>
        </w:tc>
        <w:tc>
          <w:tcPr>
            <w:tcW w:w="992" w:type="dxa"/>
            <w:shd w:val="clear" w:color="auto" w:fill="auto"/>
            <w:noWrap/>
            <w:vAlign w:val="bottom"/>
            <w:hideMark/>
          </w:tcPr>
          <w:p w:rsidR="00F03F83" w:rsidRPr="00F03F83" w:rsidRDefault="00F03F83" w:rsidP="00F03F83">
            <w:pPr>
              <w:spacing w:before="120" w:after="120"/>
              <w:rPr>
                <w:rFonts w:eastAsia="Times New Roman" w:cs="Calibri"/>
                <w:sz w:val="20"/>
                <w:szCs w:val="20"/>
                <w:lang w:eastAsia="en-AU"/>
              </w:rPr>
            </w:pPr>
            <w:r w:rsidRPr="00F03F83">
              <w:rPr>
                <w:rFonts w:eastAsia="Times New Roman" w:cs="Calibri"/>
                <w:sz w:val="20"/>
                <w:szCs w:val="20"/>
                <w:lang w:eastAsia="en-AU"/>
              </w:rPr>
              <w:t>3485</w:t>
            </w:r>
          </w:p>
        </w:tc>
      </w:tr>
      <w:tr w:rsidR="00F03F83" w:rsidRPr="00DA4655" w:rsidTr="00E8224F">
        <w:trPr>
          <w:trHeight w:val="20"/>
        </w:trPr>
        <w:tc>
          <w:tcPr>
            <w:tcW w:w="2518"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sidRPr="00DA4655">
              <w:rPr>
                <w:rFonts w:eastAsia="Times New Roman" w:cs="Calibri"/>
                <w:sz w:val="20"/>
                <w:szCs w:val="20"/>
                <w:lang w:eastAsia="en-AU"/>
              </w:rPr>
              <w:t>2008</w:t>
            </w:r>
          </w:p>
        </w:tc>
        <w:tc>
          <w:tcPr>
            <w:tcW w:w="992"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701</w:t>
            </w:r>
          </w:p>
        </w:tc>
        <w:tc>
          <w:tcPr>
            <w:tcW w:w="1134"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747</w:t>
            </w:r>
          </w:p>
        </w:tc>
        <w:tc>
          <w:tcPr>
            <w:tcW w:w="993"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877</w:t>
            </w:r>
          </w:p>
        </w:tc>
        <w:tc>
          <w:tcPr>
            <w:tcW w:w="1134"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818</w:t>
            </w:r>
          </w:p>
        </w:tc>
        <w:tc>
          <w:tcPr>
            <w:tcW w:w="992" w:type="dxa"/>
            <w:shd w:val="clear" w:color="auto" w:fill="FFFFFF"/>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551</w:t>
            </w:r>
          </w:p>
        </w:tc>
        <w:tc>
          <w:tcPr>
            <w:tcW w:w="992"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3694</w:t>
            </w:r>
          </w:p>
        </w:tc>
      </w:tr>
      <w:tr w:rsidR="00F03F83" w:rsidRPr="00DA4655" w:rsidTr="00E8224F">
        <w:trPr>
          <w:trHeight w:val="20"/>
        </w:trPr>
        <w:tc>
          <w:tcPr>
            <w:tcW w:w="2518"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sidRPr="00DA4655">
              <w:rPr>
                <w:rFonts w:eastAsia="Times New Roman" w:cs="Calibri"/>
                <w:sz w:val="20"/>
                <w:szCs w:val="20"/>
                <w:lang w:eastAsia="en-AU"/>
              </w:rPr>
              <w:t>2009</w:t>
            </w:r>
          </w:p>
        </w:tc>
        <w:tc>
          <w:tcPr>
            <w:tcW w:w="992"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684</w:t>
            </w:r>
          </w:p>
        </w:tc>
        <w:tc>
          <w:tcPr>
            <w:tcW w:w="1134"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911</w:t>
            </w:r>
          </w:p>
        </w:tc>
        <w:tc>
          <w:tcPr>
            <w:tcW w:w="993"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868</w:t>
            </w:r>
          </w:p>
        </w:tc>
        <w:tc>
          <w:tcPr>
            <w:tcW w:w="1134"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840</w:t>
            </w:r>
          </w:p>
        </w:tc>
        <w:tc>
          <w:tcPr>
            <w:tcW w:w="992" w:type="dxa"/>
            <w:shd w:val="clear" w:color="auto" w:fill="FFFFFF"/>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645</w:t>
            </w:r>
          </w:p>
        </w:tc>
        <w:tc>
          <w:tcPr>
            <w:tcW w:w="992"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3948</w:t>
            </w:r>
          </w:p>
        </w:tc>
      </w:tr>
      <w:tr w:rsidR="00F03F83" w:rsidRPr="00DA4655" w:rsidTr="00E8224F">
        <w:trPr>
          <w:trHeight w:val="20"/>
        </w:trPr>
        <w:tc>
          <w:tcPr>
            <w:tcW w:w="2518"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sidRPr="00DA4655">
              <w:rPr>
                <w:rFonts w:eastAsia="Times New Roman" w:cs="Calibri"/>
                <w:sz w:val="20"/>
                <w:szCs w:val="20"/>
                <w:lang w:eastAsia="en-AU"/>
              </w:rPr>
              <w:t>2010</w:t>
            </w:r>
          </w:p>
        </w:tc>
        <w:tc>
          <w:tcPr>
            <w:tcW w:w="992"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810</w:t>
            </w:r>
          </w:p>
        </w:tc>
        <w:tc>
          <w:tcPr>
            <w:tcW w:w="1134"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925</w:t>
            </w:r>
          </w:p>
        </w:tc>
        <w:tc>
          <w:tcPr>
            <w:tcW w:w="993"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824</w:t>
            </w:r>
          </w:p>
        </w:tc>
        <w:tc>
          <w:tcPr>
            <w:tcW w:w="1134"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905</w:t>
            </w:r>
          </w:p>
        </w:tc>
        <w:tc>
          <w:tcPr>
            <w:tcW w:w="992" w:type="dxa"/>
            <w:shd w:val="clear" w:color="auto" w:fill="FFFFFF"/>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694</w:t>
            </w:r>
          </w:p>
        </w:tc>
        <w:tc>
          <w:tcPr>
            <w:tcW w:w="992" w:type="dxa"/>
            <w:shd w:val="clear" w:color="auto" w:fill="auto"/>
            <w:noWrap/>
            <w:vAlign w:val="bottom"/>
            <w:hideMark/>
          </w:tcPr>
          <w:p w:rsidR="00F03F83" w:rsidRPr="00DA4655" w:rsidRDefault="00F03F83" w:rsidP="00F03F83">
            <w:pPr>
              <w:spacing w:before="120" w:after="120"/>
              <w:rPr>
                <w:rFonts w:eastAsia="Times New Roman" w:cs="Calibri"/>
                <w:sz w:val="20"/>
                <w:szCs w:val="20"/>
                <w:lang w:eastAsia="en-AU"/>
              </w:rPr>
            </w:pPr>
            <w:r>
              <w:rPr>
                <w:rFonts w:eastAsia="Times New Roman" w:cs="Calibri"/>
                <w:sz w:val="20"/>
                <w:szCs w:val="20"/>
                <w:lang w:eastAsia="en-AU"/>
              </w:rPr>
              <w:t>4158</w:t>
            </w:r>
          </w:p>
        </w:tc>
      </w:tr>
      <w:tr w:rsidR="00F03F83" w:rsidRPr="00DA4655" w:rsidTr="00F03F83">
        <w:trPr>
          <w:trHeight w:val="20"/>
        </w:trPr>
        <w:tc>
          <w:tcPr>
            <w:tcW w:w="2518" w:type="dxa"/>
            <w:shd w:val="clear" w:color="auto" w:fill="auto"/>
            <w:noWrap/>
            <w:vAlign w:val="bottom"/>
            <w:hideMark/>
          </w:tcPr>
          <w:p w:rsidR="00F03F83" w:rsidRPr="009C42B8" w:rsidRDefault="00F03F83" w:rsidP="00F03F83">
            <w:pPr>
              <w:spacing w:before="120" w:after="120"/>
              <w:rPr>
                <w:rFonts w:eastAsia="Times New Roman" w:cs="Calibri"/>
                <w:sz w:val="20"/>
                <w:szCs w:val="20"/>
                <w:lang w:eastAsia="en-AU"/>
              </w:rPr>
            </w:pPr>
            <w:r w:rsidRPr="009C42B8">
              <w:rPr>
                <w:rFonts w:eastAsia="Times New Roman" w:cs="Calibri"/>
                <w:sz w:val="20"/>
                <w:szCs w:val="20"/>
                <w:lang w:eastAsia="en-AU"/>
              </w:rPr>
              <w:t>2011</w:t>
            </w:r>
          </w:p>
        </w:tc>
        <w:tc>
          <w:tcPr>
            <w:tcW w:w="992" w:type="dxa"/>
            <w:shd w:val="clear" w:color="auto" w:fill="auto"/>
            <w:noWrap/>
            <w:vAlign w:val="bottom"/>
            <w:hideMark/>
          </w:tcPr>
          <w:p w:rsidR="00F03F83" w:rsidRPr="009C42B8" w:rsidRDefault="00F03F83" w:rsidP="00F03F83">
            <w:pPr>
              <w:spacing w:before="120" w:after="120"/>
              <w:rPr>
                <w:rFonts w:eastAsia="Times New Roman" w:cs="Calibri"/>
                <w:sz w:val="20"/>
                <w:szCs w:val="20"/>
                <w:lang w:eastAsia="en-AU"/>
              </w:rPr>
            </w:pPr>
            <w:r w:rsidRPr="009C42B8">
              <w:rPr>
                <w:rFonts w:eastAsia="Times New Roman" w:cs="Calibri"/>
                <w:sz w:val="20"/>
                <w:szCs w:val="20"/>
                <w:lang w:eastAsia="en-AU"/>
              </w:rPr>
              <w:t>787</w:t>
            </w:r>
          </w:p>
        </w:tc>
        <w:tc>
          <w:tcPr>
            <w:tcW w:w="1134" w:type="dxa"/>
            <w:shd w:val="clear" w:color="auto" w:fill="auto"/>
            <w:noWrap/>
            <w:vAlign w:val="bottom"/>
            <w:hideMark/>
          </w:tcPr>
          <w:p w:rsidR="00F03F83" w:rsidRPr="009C42B8" w:rsidRDefault="00F03F83" w:rsidP="00F03F83">
            <w:pPr>
              <w:spacing w:before="120" w:after="120"/>
              <w:rPr>
                <w:rFonts w:eastAsia="Times New Roman" w:cs="Calibri"/>
                <w:sz w:val="20"/>
                <w:szCs w:val="20"/>
                <w:lang w:eastAsia="en-AU"/>
              </w:rPr>
            </w:pPr>
            <w:r w:rsidRPr="009C42B8">
              <w:rPr>
                <w:rFonts w:eastAsia="Times New Roman" w:cs="Calibri"/>
                <w:sz w:val="20"/>
                <w:szCs w:val="20"/>
                <w:lang w:eastAsia="en-AU"/>
              </w:rPr>
              <w:t>908</w:t>
            </w:r>
          </w:p>
        </w:tc>
        <w:tc>
          <w:tcPr>
            <w:tcW w:w="993" w:type="dxa"/>
            <w:shd w:val="clear" w:color="auto" w:fill="auto"/>
            <w:noWrap/>
            <w:vAlign w:val="bottom"/>
            <w:hideMark/>
          </w:tcPr>
          <w:p w:rsidR="00F03F83" w:rsidRPr="009C42B8" w:rsidRDefault="00F03F83" w:rsidP="00F03F83">
            <w:pPr>
              <w:spacing w:before="120" w:after="120"/>
              <w:rPr>
                <w:rFonts w:eastAsia="Times New Roman" w:cs="Calibri"/>
                <w:sz w:val="20"/>
                <w:szCs w:val="20"/>
                <w:lang w:eastAsia="en-AU"/>
              </w:rPr>
            </w:pPr>
            <w:r w:rsidRPr="009C42B8">
              <w:rPr>
                <w:rFonts w:eastAsia="Times New Roman" w:cs="Calibri"/>
                <w:sz w:val="20"/>
                <w:szCs w:val="20"/>
                <w:lang w:eastAsia="en-AU"/>
              </w:rPr>
              <w:t>969</w:t>
            </w:r>
          </w:p>
        </w:tc>
        <w:tc>
          <w:tcPr>
            <w:tcW w:w="1134" w:type="dxa"/>
            <w:shd w:val="clear" w:color="auto" w:fill="auto"/>
            <w:noWrap/>
            <w:vAlign w:val="bottom"/>
            <w:hideMark/>
          </w:tcPr>
          <w:p w:rsidR="00F03F83" w:rsidRPr="009C42B8" w:rsidRDefault="00F03F83" w:rsidP="00F03F83">
            <w:pPr>
              <w:spacing w:before="120" w:after="120"/>
              <w:rPr>
                <w:rFonts w:eastAsia="Times New Roman" w:cs="Calibri"/>
                <w:sz w:val="20"/>
                <w:szCs w:val="20"/>
                <w:lang w:eastAsia="en-AU"/>
              </w:rPr>
            </w:pPr>
            <w:r w:rsidRPr="009C42B8">
              <w:rPr>
                <w:rFonts w:eastAsia="Times New Roman" w:cs="Calibri"/>
                <w:sz w:val="20"/>
                <w:szCs w:val="20"/>
                <w:lang w:eastAsia="en-AU"/>
              </w:rPr>
              <w:t>983</w:t>
            </w:r>
          </w:p>
        </w:tc>
        <w:tc>
          <w:tcPr>
            <w:tcW w:w="992" w:type="dxa"/>
            <w:shd w:val="clear" w:color="auto" w:fill="FFFFFF"/>
            <w:noWrap/>
            <w:vAlign w:val="bottom"/>
            <w:hideMark/>
          </w:tcPr>
          <w:p w:rsidR="00F03F83" w:rsidRPr="009C42B8" w:rsidRDefault="00F03F83" w:rsidP="00F03F83">
            <w:pPr>
              <w:spacing w:before="120" w:after="120"/>
              <w:rPr>
                <w:rFonts w:eastAsia="Times New Roman" w:cs="Calibri"/>
                <w:sz w:val="20"/>
                <w:szCs w:val="20"/>
                <w:lang w:eastAsia="en-AU"/>
              </w:rPr>
            </w:pPr>
            <w:r w:rsidRPr="009C42B8">
              <w:rPr>
                <w:rFonts w:eastAsia="Times New Roman" w:cs="Calibri"/>
                <w:sz w:val="20"/>
                <w:szCs w:val="20"/>
                <w:lang w:eastAsia="en-AU"/>
              </w:rPr>
              <w:t>735</w:t>
            </w:r>
          </w:p>
        </w:tc>
        <w:tc>
          <w:tcPr>
            <w:tcW w:w="992" w:type="dxa"/>
            <w:shd w:val="clear" w:color="auto" w:fill="auto"/>
            <w:noWrap/>
            <w:vAlign w:val="bottom"/>
            <w:hideMark/>
          </w:tcPr>
          <w:p w:rsidR="00F03F83" w:rsidRPr="009C42B8" w:rsidRDefault="00F03F83" w:rsidP="00F03F83">
            <w:pPr>
              <w:spacing w:before="120" w:after="120"/>
              <w:rPr>
                <w:rFonts w:eastAsia="Times New Roman" w:cs="Calibri"/>
                <w:sz w:val="20"/>
                <w:szCs w:val="20"/>
                <w:lang w:eastAsia="en-AU"/>
              </w:rPr>
            </w:pPr>
            <w:r w:rsidRPr="009C42B8">
              <w:rPr>
                <w:rFonts w:eastAsia="Times New Roman" w:cs="Calibri"/>
                <w:sz w:val="20"/>
                <w:szCs w:val="20"/>
                <w:lang w:eastAsia="en-AU"/>
              </w:rPr>
              <w:t>4382</w:t>
            </w:r>
          </w:p>
        </w:tc>
      </w:tr>
      <w:tr w:rsidR="00F03F83" w:rsidRPr="00DA4655" w:rsidTr="00E8224F">
        <w:trPr>
          <w:trHeight w:val="20"/>
        </w:trPr>
        <w:tc>
          <w:tcPr>
            <w:tcW w:w="2518" w:type="dxa"/>
            <w:shd w:val="clear" w:color="auto" w:fill="auto"/>
            <w:noWrap/>
            <w:vAlign w:val="bottom"/>
          </w:tcPr>
          <w:p w:rsidR="00F03F83" w:rsidRPr="00584637" w:rsidRDefault="00F03F83" w:rsidP="00F03F83">
            <w:pPr>
              <w:spacing w:before="120" w:after="120"/>
              <w:rPr>
                <w:rFonts w:eastAsia="Times New Roman" w:cs="Calibri"/>
                <w:sz w:val="20"/>
                <w:szCs w:val="20"/>
                <w:lang w:eastAsia="en-AU"/>
              </w:rPr>
            </w:pPr>
            <w:r w:rsidRPr="00584637">
              <w:rPr>
                <w:rFonts w:eastAsia="Times New Roman" w:cs="Calibri"/>
                <w:sz w:val="20"/>
                <w:szCs w:val="20"/>
                <w:lang w:eastAsia="en-AU"/>
              </w:rPr>
              <w:t>2012</w:t>
            </w:r>
          </w:p>
        </w:tc>
        <w:tc>
          <w:tcPr>
            <w:tcW w:w="992" w:type="dxa"/>
            <w:shd w:val="clear" w:color="auto" w:fill="auto"/>
            <w:noWrap/>
            <w:vAlign w:val="bottom"/>
          </w:tcPr>
          <w:p w:rsidR="00F03F83" w:rsidRPr="00584637" w:rsidRDefault="00F03F83" w:rsidP="00F03F83">
            <w:pPr>
              <w:spacing w:before="120" w:after="120"/>
              <w:rPr>
                <w:rFonts w:eastAsia="Times New Roman" w:cs="Calibri"/>
                <w:sz w:val="20"/>
                <w:szCs w:val="20"/>
                <w:lang w:eastAsia="en-AU"/>
              </w:rPr>
            </w:pPr>
            <w:r w:rsidRPr="00584637">
              <w:rPr>
                <w:rFonts w:eastAsia="Times New Roman" w:cs="Calibri"/>
                <w:sz w:val="20"/>
                <w:szCs w:val="20"/>
                <w:lang w:eastAsia="en-AU"/>
              </w:rPr>
              <w:t>783</w:t>
            </w:r>
          </w:p>
        </w:tc>
        <w:tc>
          <w:tcPr>
            <w:tcW w:w="1134" w:type="dxa"/>
            <w:shd w:val="clear" w:color="auto" w:fill="auto"/>
            <w:noWrap/>
            <w:vAlign w:val="bottom"/>
          </w:tcPr>
          <w:p w:rsidR="00F03F83" w:rsidRPr="00584637" w:rsidRDefault="00F03F83" w:rsidP="00F03F83">
            <w:pPr>
              <w:spacing w:before="120" w:after="120"/>
              <w:rPr>
                <w:rFonts w:eastAsia="Times New Roman" w:cs="Calibri"/>
                <w:sz w:val="20"/>
                <w:szCs w:val="20"/>
                <w:lang w:eastAsia="en-AU"/>
              </w:rPr>
            </w:pPr>
            <w:r w:rsidRPr="00584637">
              <w:rPr>
                <w:rFonts w:eastAsia="Times New Roman" w:cs="Calibri"/>
                <w:sz w:val="20"/>
                <w:szCs w:val="20"/>
                <w:lang w:eastAsia="en-AU"/>
              </w:rPr>
              <w:t>866</w:t>
            </w:r>
          </w:p>
        </w:tc>
        <w:tc>
          <w:tcPr>
            <w:tcW w:w="993" w:type="dxa"/>
            <w:shd w:val="clear" w:color="auto" w:fill="auto"/>
            <w:noWrap/>
            <w:vAlign w:val="bottom"/>
          </w:tcPr>
          <w:p w:rsidR="00F03F83" w:rsidRPr="00584637" w:rsidRDefault="00F03F83" w:rsidP="00F03F83">
            <w:pPr>
              <w:spacing w:before="120" w:after="120"/>
              <w:rPr>
                <w:rFonts w:eastAsia="Times New Roman" w:cs="Calibri"/>
                <w:sz w:val="20"/>
                <w:szCs w:val="20"/>
                <w:lang w:eastAsia="en-AU"/>
              </w:rPr>
            </w:pPr>
            <w:r w:rsidRPr="00584637">
              <w:rPr>
                <w:rFonts w:eastAsia="Times New Roman" w:cs="Calibri"/>
                <w:sz w:val="20"/>
                <w:szCs w:val="20"/>
                <w:lang w:eastAsia="en-AU"/>
              </w:rPr>
              <w:t>1121</w:t>
            </w:r>
          </w:p>
        </w:tc>
        <w:tc>
          <w:tcPr>
            <w:tcW w:w="1134" w:type="dxa"/>
            <w:shd w:val="clear" w:color="auto" w:fill="auto"/>
            <w:noWrap/>
            <w:vAlign w:val="bottom"/>
          </w:tcPr>
          <w:p w:rsidR="00F03F83" w:rsidRPr="00584637" w:rsidRDefault="00F03F83" w:rsidP="00F03F83">
            <w:pPr>
              <w:spacing w:before="120" w:after="120"/>
              <w:rPr>
                <w:rFonts w:eastAsia="Times New Roman" w:cs="Calibri"/>
                <w:sz w:val="20"/>
                <w:szCs w:val="20"/>
                <w:lang w:eastAsia="en-AU"/>
              </w:rPr>
            </w:pPr>
            <w:r w:rsidRPr="00584637">
              <w:rPr>
                <w:rFonts w:eastAsia="Times New Roman" w:cs="Calibri"/>
                <w:sz w:val="20"/>
                <w:szCs w:val="20"/>
                <w:lang w:eastAsia="en-AU"/>
              </w:rPr>
              <w:t>1117</w:t>
            </w:r>
          </w:p>
        </w:tc>
        <w:tc>
          <w:tcPr>
            <w:tcW w:w="992" w:type="dxa"/>
            <w:tcBorders>
              <w:bottom w:val="single" w:sz="4" w:space="0" w:color="auto"/>
            </w:tcBorders>
            <w:shd w:val="clear" w:color="auto" w:fill="FFFFFF"/>
            <w:noWrap/>
            <w:vAlign w:val="bottom"/>
          </w:tcPr>
          <w:p w:rsidR="00F03F83" w:rsidRPr="00584637" w:rsidRDefault="00F03F83" w:rsidP="00F03F83">
            <w:pPr>
              <w:spacing w:before="120" w:after="120"/>
              <w:rPr>
                <w:rFonts w:eastAsia="Times New Roman" w:cs="Calibri"/>
                <w:sz w:val="20"/>
                <w:szCs w:val="20"/>
                <w:lang w:eastAsia="en-AU"/>
              </w:rPr>
            </w:pPr>
            <w:r w:rsidRPr="00584637">
              <w:rPr>
                <w:rFonts w:eastAsia="Times New Roman" w:cs="Calibri"/>
                <w:sz w:val="20"/>
                <w:szCs w:val="20"/>
                <w:lang w:eastAsia="en-AU"/>
              </w:rPr>
              <w:t>842</w:t>
            </w:r>
          </w:p>
        </w:tc>
        <w:tc>
          <w:tcPr>
            <w:tcW w:w="992" w:type="dxa"/>
            <w:tcBorders>
              <w:bottom w:val="single" w:sz="4" w:space="0" w:color="auto"/>
            </w:tcBorders>
            <w:shd w:val="clear" w:color="auto" w:fill="auto"/>
            <w:noWrap/>
            <w:vAlign w:val="bottom"/>
          </w:tcPr>
          <w:p w:rsidR="00F03F83" w:rsidRPr="00584637" w:rsidRDefault="00F03F83" w:rsidP="00F03F83">
            <w:pPr>
              <w:spacing w:before="120" w:after="120"/>
              <w:rPr>
                <w:rFonts w:eastAsia="Times New Roman" w:cs="Calibri"/>
                <w:sz w:val="20"/>
                <w:szCs w:val="20"/>
                <w:lang w:eastAsia="en-AU"/>
              </w:rPr>
            </w:pPr>
            <w:r w:rsidRPr="00584637">
              <w:rPr>
                <w:rFonts w:eastAsia="Times New Roman" w:cs="Calibri"/>
                <w:sz w:val="20"/>
                <w:szCs w:val="20"/>
                <w:lang w:eastAsia="en-AU"/>
              </w:rPr>
              <w:t>4729</w:t>
            </w:r>
          </w:p>
        </w:tc>
      </w:tr>
    </w:tbl>
    <w:p w:rsidR="00E8224F" w:rsidRDefault="00E8224F" w:rsidP="00D4677C">
      <w:pPr>
        <w:spacing w:before="120" w:after="120"/>
      </w:pPr>
    </w:p>
    <w:p w:rsidR="00E8224F" w:rsidRDefault="00E8224F" w:rsidP="00D4677C">
      <w:pPr>
        <w:spacing w:before="120" w:after="120"/>
      </w:pPr>
    </w:p>
    <w:p w:rsidR="00E8224F" w:rsidRDefault="00E8224F" w:rsidP="00D4677C">
      <w:pPr>
        <w:spacing w:before="120" w:after="120"/>
      </w:pPr>
    </w:p>
    <w:p w:rsidR="00E8224F" w:rsidRDefault="00E8224F" w:rsidP="00D4677C">
      <w:pPr>
        <w:spacing w:before="120" w:after="120"/>
      </w:pPr>
    </w:p>
    <w:p w:rsidR="00E8224F" w:rsidRDefault="00E8224F" w:rsidP="00D4677C">
      <w:pPr>
        <w:spacing w:before="120" w:after="120"/>
      </w:pPr>
    </w:p>
    <w:p w:rsidR="00E8224F" w:rsidRDefault="00E8224F" w:rsidP="00D4677C">
      <w:pPr>
        <w:spacing w:before="120" w:after="120"/>
      </w:pPr>
    </w:p>
    <w:p w:rsidR="00E8224F" w:rsidRDefault="00E8224F" w:rsidP="00D4677C">
      <w:pPr>
        <w:spacing w:before="120" w:after="120"/>
      </w:pPr>
    </w:p>
    <w:p w:rsidR="00E8224F" w:rsidRDefault="00E8224F" w:rsidP="00D4677C">
      <w:pPr>
        <w:spacing w:before="120" w:after="120"/>
      </w:pPr>
    </w:p>
    <w:p w:rsidR="00E8224F" w:rsidRDefault="00E8224F" w:rsidP="00D4677C">
      <w:pPr>
        <w:spacing w:before="120" w:after="120"/>
      </w:pPr>
    </w:p>
    <w:p w:rsidR="00E8224F" w:rsidRDefault="00E8224F" w:rsidP="00D4677C">
      <w:pPr>
        <w:spacing w:before="120" w:after="120"/>
      </w:pPr>
    </w:p>
    <w:p w:rsidR="00E8224F" w:rsidRDefault="00E8224F" w:rsidP="00D4677C">
      <w:pPr>
        <w:spacing w:before="120" w:after="120"/>
      </w:pPr>
    </w:p>
    <w:p w:rsidR="00F03F83" w:rsidRPr="00F03F83" w:rsidRDefault="00F03F83" w:rsidP="00F03F83">
      <w:pPr>
        <w:spacing w:after="0"/>
        <w:rPr>
          <w:sz w:val="16"/>
          <w:szCs w:val="16"/>
        </w:rPr>
      </w:pPr>
    </w:p>
    <w:p w:rsidR="00F03F83" w:rsidRDefault="00F03F83" w:rsidP="00F03F83">
      <w:pPr>
        <w:spacing w:after="120"/>
      </w:pPr>
      <w:r w:rsidRPr="009C42B8">
        <w:t>Table 1a shows that since 2007, there has been an increase in the number of students at all levels of the</w:t>
      </w:r>
      <w:r w:rsidRPr="00D4677C">
        <w:t xml:space="preserve"> LPR scales. </w:t>
      </w:r>
      <w:r>
        <w:t>The most substantial percentage increases in the</w:t>
      </w:r>
      <w:r w:rsidRPr="00D4677C">
        <w:t xml:space="preserve"> number of EALD students </w:t>
      </w:r>
      <w:r>
        <w:t xml:space="preserve">from 2007 to 2012 has been in the ‘above average’ LPR scale (71%), which indicates the students are </w:t>
      </w:r>
      <w:r w:rsidRPr="00D4677C">
        <w:t xml:space="preserve">above the average native English language speaker for age and year level </w:t>
      </w:r>
      <w:r>
        <w:t xml:space="preserve">when they are assessed </w:t>
      </w:r>
      <w:r w:rsidRPr="00D4677C">
        <w:t>and therefore do not require targeted funding.</w:t>
      </w:r>
      <w:r>
        <w:t xml:space="preserve"> The next largest increase over the period was in the ‘approaching average’ range (67%).</w:t>
      </w:r>
    </w:p>
    <w:p w:rsidR="00F03F83" w:rsidRPr="00D4677C" w:rsidRDefault="00F03F83" w:rsidP="00F03F83">
      <w:pPr>
        <w:spacing w:before="120" w:after="120"/>
      </w:pPr>
      <w:r>
        <w:rPr>
          <w:rFonts w:cs="Calibri"/>
        </w:rPr>
        <w:t>Table 1b indicates the proportion of EALD students in each LPR range below average (4.0).</w:t>
      </w:r>
    </w:p>
    <w:p w:rsidR="00F752DF" w:rsidRPr="00B31CEB" w:rsidRDefault="002A24F5" w:rsidP="00E8224F">
      <w:pPr>
        <w:pStyle w:val="Default"/>
        <w:rPr>
          <w:rFonts w:ascii="Calibri" w:hAnsi="Calibri" w:cs="Calibri"/>
          <w:b/>
          <w:i/>
          <w:sz w:val="20"/>
          <w:szCs w:val="20"/>
        </w:rPr>
      </w:pPr>
      <w:r w:rsidRPr="00B31CEB">
        <w:rPr>
          <w:rFonts w:ascii="Calibri" w:hAnsi="Calibri" w:cs="Calibri"/>
          <w:b/>
          <w:i/>
          <w:sz w:val="20"/>
          <w:szCs w:val="20"/>
        </w:rPr>
        <w:t>Table 1b –</w:t>
      </w:r>
      <w:r w:rsidR="00E8224F">
        <w:rPr>
          <w:rFonts w:ascii="Calibri" w:hAnsi="Calibri" w:cs="Calibri"/>
          <w:b/>
          <w:i/>
          <w:sz w:val="20"/>
          <w:szCs w:val="20"/>
        </w:rPr>
        <w:t xml:space="preserve"> </w:t>
      </w:r>
      <w:r w:rsidR="0075353C" w:rsidRPr="00B31CEB">
        <w:rPr>
          <w:rFonts w:ascii="Calibri" w:hAnsi="Calibri" w:cs="Calibri"/>
          <w:b/>
          <w:i/>
          <w:sz w:val="20"/>
          <w:szCs w:val="20"/>
        </w:rPr>
        <w:t>P</w:t>
      </w:r>
      <w:r w:rsidRPr="00B31CEB">
        <w:rPr>
          <w:rFonts w:ascii="Calibri" w:hAnsi="Calibri" w:cs="Calibri"/>
          <w:b/>
          <w:i/>
          <w:sz w:val="20"/>
          <w:szCs w:val="20"/>
        </w:rPr>
        <w:t>ercentage of students in each LPR range</w:t>
      </w:r>
    </w:p>
    <w:tbl>
      <w:tblPr>
        <w:tblpPr w:leftFromText="180" w:rightFromText="180" w:vertAnchor="text" w:horzAnchor="margin" w:tblpX="216" w:tblpY="311"/>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9"/>
        <w:gridCol w:w="1731"/>
        <w:gridCol w:w="1493"/>
        <w:gridCol w:w="1329"/>
        <w:gridCol w:w="1331"/>
      </w:tblGrid>
      <w:tr w:rsidR="002A24F5" w:rsidRPr="00DA4655" w:rsidTr="002A24F5">
        <w:trPr>
          <w:trHeight w:val="20"/>
        </w:trPr>
        <w:tc>
          <w:tcPr>
            <w:tcW w:w="3579" w:type="dxa"/>
            <w:shd w:val="clear" w:color="auto" w:fill="auto"/>
            <w:noWrap/>
            <w:vAlign w:val="center"/>
            <w:hideMark/>
          </w:tcPr>
          <w:p w:rsidR="002A24F5" w:rsidRPr="00DA4655" w:rsidRDefault="002A24F5" w:rsidP="00F03F83">
            <w:pPr>
              <w:spacing w:before="80" w:after="80"/>
              <w:rPr>
                <w:rFonts w:eastAsia="Times New Roman" w:cs="Calibri"/>
                <w:sz w:val="20"/>
                <w:szCs w:val="20"/>
                <w:lang w:eastAsia="en-AU"/>
              </w:rPr>
            </w:pPr>
          </w:p>
        </w:tc>
        <w:tc>
          <w:tcPr>
            <w:tcW w:w="5884" w:type="dxa"/>
            <w:gridSpan w:val="4"/>
            <w:shd w:val="clear" w:color="auto" w:fill="FFFFFF"/>
            <w:noWrap/>
            <w:vAlign w:val="bottom"/>
            <w:hideMark/>
          </w:tcPr>
          <w:p w:rsidR="002A24F5" w:rsidRPr="002A24F5" w:rsidRDefault="002A24F5" w:rsidP="00F03F83">
            <w:pPr>
              <w:spacing w:before="80" w:after="80"/>
              <w:rPr>
                <w:rFonts w:eastAsia="Times New Roman" w:cs="Calibri"/>
                <w:b/>
                <w:sz w:val="20"/>
                <w:szCs w:val="20"/>
                <w:lang w:eastAsia="en-AU"/>
              </w:rPr>
            </w:pPr>
            <w:r w:rsidRPr="002A24F5">
              <w:rPr>
                <w:rFonts w:eastAsia="Times New Roman" w:cs="Calibri"/>
                <w:b/>
                <w:sz w:val="20"/>
                <w:szCs w:val="20"/>
                <w:lang w:eastAsia="en-AU"/>
              </w:rPr>
              <w:t>LPR Range</w:t>
            </w:r>
            <w:r w:rsidR="00042383">
              <w:rPr>
                <w:rFonts w:eastAsia="Times New Roman" w:cs="Calibri"/>
                <w:b/>
                <w:sz w:val="20"/>
                <w:szCs w:val="20"/>
                <w:lang w:eastAsia="en-AU"/>
              </w:rPr>
              <w:t>- P</w:t>
            </w:r>
            <w:r>
              <w:rPr>
                <w:rFonts w:eastAsia="Times New Roman" w:cs="Calibri"/>
                <w:b/>
                <w:sz w:val="20"/>
                <w:szCs w:val="20"/>
                <w:lang w:eastAsia="en-AU"/>
              </w:rPr>
              <w:t xml:space="preserve">ercentage of </w:t>
            </w:r>
            <w:r w:rsidR="00042383">
              <w:rPr>
                <w:rFonts w:eastAsia="Times New Roman" w:cs="Calibri"/>
                <w:b/>
                <w:sz w:val="20"/>
                <w:szCs w:val="20"/>
                <w:lang w:eastAsia="en-AU"/>
              </w:rPr>
              <w:t xml:space="preserve">Eligible Students </w:t>
            </w:r>
          </w:p>
        </w:tc>
      </w:tr>
      <w:tr w:rsidR="002A24F5" w:rsidRPr="00DA4655" w:rsidTr="002A24F5">
        <w:trPr>
          <w:trHeight w:val="20"/>
        </w:trPr>
        <w:tc>
          <w:tcPr>
            <w:tcW w:w="3579" w:type="dxa"/>
            <w:shd w:val="clear" w:color="auto" w:fill="auto"/>
            <w:noWrap/>
            <w:vAlign w:val="center"/>
            <w:hideMark/>
          </w:tcPr>
          <w:p w:rsidR="002A24F5" w:rsidRPr="00DA4655" w:rsidRDefault="00F03F83" w:rsidP="00F03F83">
            <w:pPr>
              <w:spacing w:before="120" w:after="120"/>
              <w:rPr>
                <w:rFonts w:eastAsia="Times New Roman" w:cs="Calibri"/>
                <w:sz w:val="20"/>
                <w:szCs w:val="20"/>
                <w:lang w:eastAsia="en-AU"/>
              </w:rPr>
            </w:pPr>
            <w:r>
              <w:rPr>
                <w:rFonts w:eastAsia="Times New Roman" w:cs="Calibri"/>
                <w:b/>
                <w:bCs/>
                <w:sz w:val="20"/>
                <w:szCs w:val="20"/>
                <w:lang w:eastAsia="en-AU"/>
              </w:rPr>
              <w:t>February</w:t>
            </w:r>
            <w:r w:rsidR="00512C67" w:rsidRPr="00DA4655">
              <w:rPr>
                <w:rFonts w:eastAsia="Times New Roman" w:cs="Calibri"/>
                <w:b/>
                <w:bCs/>
                <w:sz w:val="20"/>
                <w:szCs w:val="20"/>
                <w:lang w:eastAsia="en-AU"/>
              </w:rPr>
              <w:t xml:space="preserve"> Census</w:t>
            </w:r>
            <w:r w:rsidR="00512C67">
              <w:rPr>
                <w:rFonts w:eastAsia="Times New Roman" w:cs="Calibri"/>
                <w:b/>
                <w:bCs/>
                <w:sz w:val="20"/>
                <w:szCs w:val="20"/>
                <w:lang w:eastAsia="en-AU"/>
              </w:rPr>
              <w:t xml:space="preserve"> </w:t>
            </w:r>
          </w:p>
        </w:tc>
        <w:tc>
          <w:tcPr>
            <w:tcW w:w="1731" w:type="dxa"/>
            <w:shd w:val="clear" w:color="auto" w:fill="FFFFFF"/>
            <w:noWrap/>
            <w:vAlign w:val="bottom"/>
            <w:hideMark/>
          </w:tcPr>
          <w:p w:rsidR="002A24F5" w:rsidRPr="00DA4655" w:rsidRDefault="002A24F5" w:rsidP="00F03F83">
            <w:pPr>
              <w:spacing w:before="120" w:after="120"/>
              <w:rPr>
                <w:rFonts w:eastAsia="Times New Roman" w:cs="Calibri"/>
                <w:b/>
                <w:bCs/>
                <w:sz w:val="20"/>
                <w:szCs w:val="20"/>
                <w:lang w:eastAsia="en-AU"/>
              </w:rPr>
            </w:pPr>
            <w:r w:rsidRPr="00DA4655">
              <w:rPr>
                <w:rFonts w:eastAsia="Times New Roman" w:cs="Calibri"/>
                <w:b/>
                <w:bCs/>
                <w:sz w:val="20"/>
                <w:szCs w:val="20"/>
                <w:lang w:eastAsia="en-AU"/>
              </w:rPr>
              <w:t>0-1.0</w:t>
            </w:r>
          </w:p>
        </w:tc>
        <w:tc>
          <w:tcPr>
            <w:tcW w:w="1493" w:type="dxa"/>
            <w:shd w:val="clear" w:color="auto" w:fill="FFFFFF"/>
            <w:noWrap/>
            <w:vAlign w:val="bottom"/>
            <w:hideMark/>
          </w:tcPr>
          <w:p w:rsidR="002A24F5" w:rsidRPr="00DA4655" w:rsidRDefault="002A24F5" w:rsidP="00F03F83">
            <w:pPr>
              <w:spacing w:before="120" w:after="120"/>
              <w:rPr>
                <w:rFonts w:eastAsia="Times New Roman" w:cs="Calibri"/>
                <w:b/>
                <w:bCs/>
                <w:sz w:val="20"/>
                <w:szCs w:val="20"/>
                <w:lang w:eastAsia="en-AU"/>
              </w:rPr>
            </w:pPr>
            <w:r w:rsidRPr="00DA4655">
              <w:rPr>
                <w:rFonts w:eastAsia="Times New Roman" w:cs="Calibri"/>
                <w:b/>
                <w:bCs/>
                <w:sz w:val="20"/>
                <w:szCs w:val="20"/>
                <w:lang w:eastAsia="en-AU"/>
              </w:rPr>
              <w:t>1.25-1.75</w:t>
            </w:r>
          </w:p>
        </w:tc>
        <w:tc>
          <w:tcPr>
            <w:tcW w:w="1329" w:type="dxa"/>
            <w:shd w:val="clear" w:color="auto" w:fill="FFFFFF"/>
            <w:noWrap/>
            <w:vAlign w:val="bottom"/>
            <w:hideMark/>
          </w:tcPr>
          <w:p w:rsidR="002A24F5" w:rsidRPr="00DA4655" w:rsidRDefault="002A24F5" w:rsidP="00F03F83">
            <w:pPr>
              <w:spacing w:before="120" w:after="120"/>
              <w:rPr>
                <w:rFonts w:eastAsia="Times New Roman" w:cs="Calibri"/>
                <w:b/>
                <w:bCs/>
                <w:sz w:val="20"/>
                <w:szCs w:val="20"/>
                <w:lang w:eastAsia="en-AU"/>
              </w:rPr>
            </w:pPr>
            <w:r w:rsidRPr="00DA4655">
              <w:rPr>
                <w:rFonts w:eastAsia="Times New Roman" w:cs="Calibri"/>
                <w:b/>
                <w:bCs/>
                <w:sz w:val="20"/>
                <w:szCs w:val="20"/>
                <w:lang w:eastAsia="en-AU"/>
              </w:rPr>
              <w:t>2.0-2.75</w:t>
            </w:r>
          </w:p>
        </w:tc>
        <w:tc>
          <w:tcPr>
            <w:tcW w:w="1331" w:type="dxa"/>
            <w:shd w:val="clear" w:color="auto" w:fill="FFFFFF"/>
            <w:noWrap/>
            <w:vAlign w:val="center"/>
            <w:hideMark/>
          </w:tcPr>
          <w:p w:rsidR="002A24F5" w:rsidRPr="002A24F5" w:rsidRDefault="002A24F5" w:rsidP="00F03F83">
            <w:pPr>
              <w:spacing w:before="120" w:after="120"/>
              <w:rPr>
                <w:rFonts w:eastAsia="Times New Roman" w:cs="Calibri"/>
                <w:b/>
                <w:sz w:val="20"/>
                <w:szCs w:val="20"/>
                <w:lang w:eastAsia="en-AU"/>
              </w:rPr>
            </w:pPr>
            <w:r w:rsidRPr="002A24F5">
              <w:rPr>
                <w:rFonts w:eastAsia="Times New Roman" w:cs="Calibri"/>
                <w:b/>
                <w:sz w:val="20"/>
                <w:szCs w:val="20"/>
                <w:lang w:eastAsia="en-AU"/>
              </w:rPr>
              <w:t>3-3.75</w:t>
            </w:r>
          </w:p>
        </w:tc>
      </w:tr>
      <w:tr w:rsidR="00F03F83" w:rsidRPr="00DA4655" w:rsidTr="002A24F5">
        <w:trPr>
          <w:trHeight w:val="20"/>
        </w:trPr>
        <w:tc>
          <w:tcPr>
            <w:tcW w:w="3579" w:type="dxa"/>
            <w:shd w:val="clear" w:color="auto" w:fill="auto"/>
            <w:noWrap/>
            <w:vAlign w:val="center"/>
            <w:hideMark/>
          </w:tcPr>
          <w:p w:rsidR="00F03F83" w:rsidRPr="00DA4655" w:rsidRDefault="00F03F83" w:rsidP="00F03F83">
            <w:pPr>
              <w:spacing w:after="0"/>
              <w:rPr>
                <w:rFonts w:eastAsia="Times New Roman" w:cs="Calibri"/>
                <w:sz w:val="20"/>
                <w:szCs w:val="20"/>
                <w:lang w:eastAsia="en-AU"/>
              </w:rPr>
            </w:pPr>
            <w:r w:rsidRPr="00DA4655">
              <w:rPr>
                <w:rFonts w:eastAsia="Times New Roman" w:cs="Calibri"/>
                <w:sz w:val="20"/>
                <w:szCs w:val="20"/>
                <w:lang w:eastAsia="en-AU"/>
              </w:rPr>
              <w:t>% of Total Eligible Students</w:t>
            </w:r>
            <w:r w:rsidRPr="00DA4655">
              <w:rPr>
                <w:rFonts w:eastAsia="Times New Roman" w:cs="Calibri"/>
                <w:sz w:val="20"/>
                <w:szCs w:val="20"/>
                <w:lang w:eastAsia="en-AU"/>
              </w:rPr>
              <w:br/>
              <w:t>(LRP&lt;4) 200</w:t>
            </w:r>
            <w:r>
              <w:rPr>
                <w:rFonts w:eastAsia="Times New Roman" w:cs="Calibri"/>
                <w:sz w:val="20"/>
                <w:szCs w:val="20"/>
                <w:lang w:eastAsia="en-AU"/>
              </w:rPr>
              <w:t>0</w:t>
            </w:r>
          </w:p>
        </w:tc>
        <w:tc>
          <w:tcPr>
            <w:tcW w:w="1731" w:type="dxa"/>
            <w:shd w:val="clear" w:color="auto" w:fill="FFFFFF"/>
            <w:noWrap/>
            <w:vAlign w:val="center"/>
            <w:hideMark/>
          </w:tcPr>
          <w:p w:rsidR="00F03F83" w:rsidRPr="00DA4655" w:rsidRDefault="00F03F83" w:rsidP="00F03F83">
            <w:pPr>
              <w:spacing w:after="0"/>
              <w:rPr>
                <w:rFonts w:eastAsia="Times New Roman" w:cs="Calibri"/>
                <w:sz w:val="20"/>
                <w:szCs w:val="20"/>
                <w:lang w:eastAsia="en-AU"/>
              </w:rPr>
            </w:pPr>
            <w:r>
              <w:rPr>
                <w:rFonts w:eastAsia="Times New Roman" w:cs="Calibri"/>
                <w:sz w:val="20"/>
                <w:szCs w:val="20"/>
                <w:lang w:eastAsia="en-AU"/>
              </w:rPr>
              <w:t>12%</w:t>
            </w:r>
          </w:p>
        </w:tc>
        <w:tc>
          <w:tcPr>
            <w:tcW w:w="1493" w:type="dxa"/>
            <w:shd w:val="clear" w:color="auto" w:fill="FFFFFF"/>
            <w:noWrap/>
            <w:vAlign w:val="center"/>
            <w:hideMark/>
          </w:tcPr>
          <w:p w:rsidR="00F03F83" w:rsidRPr="00DA4655" w:rsidRDefault="00F03F83" w:rsidP="00F03F83">
            <w:pPr>
              <w:spacing w:after="0"/>
              <w:rPr>
                <w:rFonts w:eastAsia="Times New Roman" w:cs="Calibri"/>
                <w:sz w:val="20"/>
                <w:szCs w:val="20"/>
                <w:lang w:eastAsia="en-AU"/>
              </w:rPr>
            </w:pPr>
            <w:r>
              <w:rPr>
                <w:rFonts w:eastAsia="Times New Roman" w:cs="Calibri"/>
                <w:sz w:val="20"/>
                <w:szCs w:val="20"/>
                <w:lang w:eastAsia="en-AU"/>
              </w:rPr>
              <w:t>11%</w:t>
            </w:r>
          </w:p>
        </w:tc>
        <w:tc>
          <w:tcPr>
            <w:tcW w:w="1329" w:type="dxa"/>
            <w:shd w:val="clear" w:color="auto" w:fill="FFFFFF"/>
            <w:noWrap/>
            <w:vAlign w:val="center"/>
            <w:hideMark/>
          </w:tcPr>
          <w:p w:rsidR="00F03F83" w:rsidRPr="00DA4655" w:rsidRDefault="00F03F83" w:rsidP="00F03F83">
            <w:pPr>
              <w:spacing w:after="0"/>
              <w:rPr>
                <w:rFonts w:eastAsia="Times New Roman" w:cs="Calibri"/>
                <w:sz w:val="20"/>
                <w:szCs w:val="20"/>
                <w:lang w:eastAsia="en-AU"/>
              </w:rPr>
            </w:pPr>
            <w:r>
              <w:rPr>
                <w:rFonts w:eastAsia="Times New Roman" w:cs="Calibri"/>
                <w:sz w:val="20"/>
                <w:szCs w:val="20"/>
                <w:lang w:eastAsia="en-AU"/>
              </w:rPr>
              <w:t>50%</w:t>
            </w:r>
          </w:p>
        </w:tc>
        <w:tc>
          <w:tcPr>
            <w:tcW w:w="1331" w:type="dxa"/>
            <w:shd w:val="clear" w:color="auto" w:fill="FFFFFF"/>
            <w:noWrap/>
            <w:vAlign w:val="center"/>
            <w:hideMark/>
          </w:tcPr>
          <w:p w:rsidR="00F03F83" w:rsidRPr="00DA4655" w:rsidRDefault="00F03F83" w:rsidP="00F03F83">
            <w:pPr>
              <w:spacing w:after="0"/>
              <w:rPr>
                <w:rFonts w:eastAsia="Times New Roman" w:cs="Calibri"/>
                <w:sz w:val="20"/>
                <w:szCs w:val="20"/>
                <w:lang w:eastAsia="en-AU"/>
              </w:rPr>
            </w:pPr>
            <w:r>
              <w:rPr>
                <w:rFonts w:eastAsia="Times New Roman" w:cs="Calibri"/>
                <w:sz w:val="20"/>
                <w:szCs w:val="20"/>
                <w:lang w:eastAsia="en-AU"/>
              </w:rPr>
              <w:t>27%</w:t>
            </w:r>
          </w:p>
        </w:tc>
      </w:tr>
      <w:tr w:rsidR="00F03F83" w:rsidRPr="00DA4655" w:rsidTr="002A24F5">
        <w:trPr>
          <w:trHeight w:val="20"/>
        </w:trPr>
        <w:tc>
          <w:tcPr>
            <w:tcW w:w="3579" w:type="dxa"/>
            <w:shd w:val="clear" w:color="auto" w:fill="auto"/>
            <w:noWrap/>
            <w:vAlign w:val="center"/>
            <w:hideMark/>
          </w:tcPr>
          <w:p w:rsidR="00F03F83" w:rsidRPr="00DA4655" w:rsidRDefault="00F03F83" w:rsidP="00F03F83">
            <w:pPr>
              <w:spacing w:after="0"/>
              <w:rPr>
                <w:rFonts w:eastAsia="Times New Roman" w:cs="Calibri"/>
                <w:sz w:val="20"/>
                <w:szCs w:val="20"/>
                <w:lang w:eastAsia="en-AU"/>
              </w:rPr>
            </w:pPr>
            <w:r w:rsidRPr="00DA4655">
              <w:rPr>
                <w:rFonts w:eastAsia="Times New Roman" w:cs="Calibri"/>
                <w:sz w:val="20"/>
                <w:szCs w:val="20"/>
                <w:lang w:eastAsia="en-AU"/>
              </w:rPr>
              <w:t>% of Total Eligible Students</w:t>
            </w:r>
            <w:r w:rsidRPr="00DA4655">
              <w:rPr>
                <w:rFonts w:eastAsia="Times New Roman" w:cs="Calibri"/>
                <w:sz w:val="20"/>
                <w:szCs w:val="20"/>
                <w:lang w:eastAsia="en-AU"/>
              </w:rPr>
              <w:br/>
              <w:t>(LRP&lt;4) 2007</w:t>
            </w:r>
          </w:p>
        </w:tc>
        <w:tc>
          <w:tcPr>
            <w:tcW w:w="1731" w:type="dxa"/>
            <w:shd w:val="clear" w:color="auto" w:fill="FFFFFF"/>
            <w:noWrap/>
            <w:vAlign w:val="center"/>
            <w:hideMark/>
          </w:tcPr>
          <w:p w:rsidR="00F03F83" w:rsidRPr="00DA4655" w:rsidRDefault="00F03F83" w:rsidP="00F03F83">
            <w:pPr>
              <w:spacing w:after="0"/>
              <w:rPr>
                <w:rFonts w:eastAsia="Times New Roman" w:cs="Calibri"/>
                <w:sz w:val="20"/>
                <w:szCs w:val="20"/>
                <w:lang w:eastAsia="en-AU"/>
              </w:rPr>
            </w:pPr>
            <w:r>
              <w:rPr>
                <w:rFonts w:eastAsia="Times New Roman" w:cs="Calibri"/>
                <w:sz w:val="20"/>
                <w:szCs w:val="20"/>
                <w:lang w:eastAsia="en-AU"/>
              </w:rPr>
              <w:t>20%</w:t>
            </w:r>
          </w:p>
        </w:tc>
        <w:tc>
          <w:tcPr>
            <w:tcW w:w="1493" w:type="dxa"/>
            <w:shd w:val="clear" w:color="auto" w:fill="FFFFFF"/>
            <w:noWrap/>
            <w:vAlign w:val="center"/>
            <w:hideMark/>
          </w:tcPr>
          <w:p w:rsidR="00F03F83" w:rsidRPr="00DA4655" w:rsidRDefault="00F03F83" w:rsidP="00F03F83">
            <w:pPr>
              <w:spacing w:after="0"/>
              <w:rPr>
                <w:rFonts w:eastAsia="Times New Roman" w:cs="Calibri"/>
                <w:sz w:val="20"/>
                <w:szCs w:val="20"/>
                <w:lang w:eastAsia="en-AU"/>
              </w:rPr>
            </w:pPr>
            <w:r>
              <w:rPr>
                <w:rFonts w:eastAsia="Times New Roman" w:cs="Calibri"/>
                <w:sz w:val="20"/>
                <w:szCs w:val="20"/>
                <w:lang w:eastAsia="en-AU"/>
              </w:rPr>
              <w:t>21%</w:t>
            </w:r>
          </w:p>
        </w:tc>
        <w:tc>
          <w:tcPr>
            <w:tcW w:w="1329" w:type="dxa"/>
            <w:shd w:val="clear" w:color="auto" w:fill="FFFFFF"/>
            <w:noWrap/>
            <w:vAlign w:val="center"/>
            <w:hideMark/>
          </w:tcPr>
          <w:p w:rsidR="00F03F83" w:rsidRPr="00DA4655" w:rsidRDefault="00F03F83" w:rsidP="00F03F83">
            <w:pPr>
              <w:spacing w:after="0"/>
              <w:rPr>
                <w:rFonts w:eastAsia="Times New Roman" w:cs="Calibri"/>
                <w:sz w:val="20"/>
                <w:szCs w:val="20"/>
                <w:lang w:eastAsia="en-AU"/>
              </w:rPr>
            </w:pPr>
            <w:r>
              <w:rPr>
                <w:rFonts w:eastAsia="Times New Roman" w:cs="Calibri"/>
                <w:sz w:val="20"/>
                <w:szCs w:val="20"/>
                <w:lang w:eastAsia="en-AU"/>
              </w:rPr>
              <w:t>37%</w:t>
            </w:r>
          </w:p>
        </w:tc>
        <w:tc>
          <w:tcPr>
            <w:tcW w:w="1331" w:type="dxa"/>
            <w:shd w:val="clear" w:color="auto" w:fill="FFFFFF"/>
            <w:noWrap/>
            <w:vAlign w:val="center"/>
            <w:hideMark/>
          </w:tcPr>
          <w:p w:rsidR="00F03F83" w:rsidRPr="00DA4655" w:rsidRDefault="00F03F83" w:rsidP="00F03F83">
            <w:pPr>
              <w:spacing w:after="0"/>
              <w:rPr>
                <w:rFonts w:eastAsia="Times New Roman" w:cs="Calibri"/>
                <w:sz w:val="20"/>
                <w:szCs w:val="20"/>
                <w:lang w:eastAsia="en-AU"/>
              </w:rPr>
            </w:pPr>
            <w:r>
              <w:rPr>
                <w:rFonts w:eastAsia="Times New Roman" w:cs="Calibri"/>
                <w:sz w:val="20"/>
                <w:szCs w:val="20"/>
                <w:lang w:eastAsia="en-AU"/>
              </w:rPr>
              <w:t>22%</w:t>
            </w:r>
          </w:p>
        </w:tc>
      </w:tr>
      <w:tr w:rsidR="00F03F83" w:rsidRPr="00DA4655" w:rsidTr="002A24F5">
        <w:trPr>
          <w:trHeight w:val="525"/>
        </w:trPr>
        <w:tc>
          <w:tcPr>
            <w:tcW w:w="3579" w:type="dxa"/>
            <w:shd w:val="clear" w:color="auto" w:fill="auto"/>
            <w:vAlign w:val="center"/>
            <w:hideMark/>
          </w:tcPr>
          <w:p w:rsidR="00F03F83" w:rsidRPr="00DA4655" w:rsidRDefault="00F03F83" w:rsidP="00F03F83">
            <w:pPr>
              <w:spacing w:after="0"/>
              <w:rPr>
                <w:rFonts w:eastAsia="Times New Roman" w:cs="Calibri"/>
                <w:sz w:val="20"/>
                <w:szCs w:val="20"/>
                <w:lang w:eastAsia="en-AU"/>
              </w:rPr>
            </w:pPr>
            <w:r w:rsidRPr="00DA4655">
              <w:rPr>
                <w:rFonts w:eastAsia="Times New Roman" w:cs="Calibri"/>
                <w:sz w:val="20"/>
                <w:szCs w:val="20"/>
                <w:lang w:eastAsia="en-AU"/>
              </w:rPr>
              <w:t>% of Total Eligible Students</w:t>
            </w:r>
            <w:r w:rsidRPr="00DA4655">
              <w:rPr>
                <w:rFonts w:eastAsia="Times New Roman" w:cs="Calibri"/>
                <w:sz w:val="20"/>
                <w:szCs w:val="20"/>
                <w:lang w:eastAsia="en-AU"/>
              </w:rPr>
              <w:br/>
              <w:t>(LRP &lt;4)  201</w:t>
            </w:r>
            <w:r>
              <w:rPr>
                <w:rFonts w:eastAsia="Times New Roman" w:cs="Calibri"/>
                <w:sz w:val="20"/>
                <w:szCs w:val="20"/>
                <w:lang w:eastAsia="en-AU"/>
              </w:rPr>
              <w:t>2</w:t>
            </w:r>
          </w:p>
        </w:tc>
        <w:tc>
          <w:tcPr>
            <w:tcW w:w="1731" w:type="dxa"/>
            <w:shd w:val="clear" w:color="auto" w:fill="FFFFFF"/>
            <w:noWrap/>
            <w:vAlign w:val="center"/>
            <w:hideMark/>
          </w:tcPr>
          <w:p w:rsidR="00F03F83" w:rsidRPr="00DA4655" w:rsidRDefault="00F03F83" w:rsidP="00F03F83">
            <w:pPr>
              <w:spacing w:after="0"/>
              <w:rPr>
                <w:rFonts w:eastAsia="Times New Roman" w:cs="Calibri"/>
                <w:sz w:val="20"/>
                <w:szCs w:val="20"/>
                <w:lang w:eastAsia="en-AU"/>
              </w:rPr>
            </w:pPr>
            <w:r>
              <w:rPr>
                <w:rFonts w:eastAsia="Times New Roman" w:cs="Calibri"/>
                <w:sz w:val="20"/>
                <w:szCs w:val="20"/>
                <w:lang w:eastAsia="en-AU"/>
              </w:rPr>
              <w:t>20%</w:t>
            </w:r>
          </w:p>
        </w:tc>
        <w:tc>
          <w:tcPr>
            <w:tcW w:w="1493" w:type="dxa"/>
            <w:shd w:val="clear" w:color="auto" w:fill="FFFFFF"/>
            <w:noWrap/>
            <w:vAlign w:val="center"/>
            <w:hideMark/>
          </w:tcPr>
          <w:p w:rsidR="00F03F83" w:rsidRPr="00DA4655" w:rsidRDefault="00F03F83" w:rsidP="00F03F83">
            <w:pPr>
              <w:spacing w:after="0"/>
              <w:rPr>
                <w:rFonts w:eastAsia="Times New Roman" w:cs="Calibri"/>
                <w:sz w:val="20"/>
                <w:szCs w:val="20"/>
                <w:lang w:eastAsia="en-AU"/>
              </w:rPr>
            </w:pPr>
            <w:r>
              <w:rPr>
                <w:rFonts w:eastAsia="Times New Roman" w:cs="Calibri"/>
                <w:sz w:val="20"/>
                <w:szCs w:val="20"/>
                <w:lang w:eastAsia="en-AU"/>
              </w:rPr>
              <w:t>22%</w:t>
            </w:r>
          </w:p>
        </w:tc>
        <w:tc>
          <w:tcPr>
            <w:tcW w:w="1329" w:type="dxa"/>
            <w:shd w:val="clear" w:color="auto" w:fill="FFFFFF"/>
            <w:noWrap/>
            <w:vAlign w:val="center"/>
            <w:hideMark/>
          </w:tcPr>
          <w:p w:rsidR="00F03F83" w:rsidRPr="00DA4655" w:rsidRDefault="00F03F83" w:rsidP="00F03F83">
            <w:pPr>
              <w:spacing w:after="0"/>
              <w:rPr>
                <w:rFonts w:eastAsia="Times New Roman" w:cs="Calibri"/>
                <w:sz w:val="20"/>
                <w:szCs w:val="20"/>
                <w:lang w:eastAsia="en-AU"/>
              </w:rPr>
            </w:pPr>
            <w:r>
              <w:rPr>
                <w:rFonts w:eastAsia="Times New Roman" w:cs="Calibri"/>
                <w:sz w:val="20"/>
                <w:szCs w:val="20"/>
                <w:lang w:eastAsia="en-AU"/>
              </w:rPr>
              <w:t>29%</w:t>
            </w:r>
          </w:p>
        </w:tc>
        <w:tc>
          <w:tcPr>
            <w:tcW w:w="1331" w:type="dxa"/>
            <w:shd w:val="clear" w:color="auto" w:fill="FFFFFF"/>
            <w:noWrap/>
            <w:vAlign w:val="center"/>
            <w:hideMark/>
          </w:tcPr>
          <w:p w:rsidR="00F03F83" w:rsidRPr="00DA4655" w:rsidRDefault="00F03F83" w:rsidP="00F03F83">
            <w:pPr>
              <w:spacing w:after="0"/>
              <w:rPr>
                <w:rFonts w:eastAsia="Times New Roman" w:cs="Calibri"/>
                <w:sz w:val="20"/>
                <w:szCs w:val="20"/>
                <w:lang w:eastAsia="en-AU"/>
              </w:rPr>
            </w:pPr>
            <w:r>
              <w:rPr>
                <w:rFonts w:eastAsia="Times New Roman" w:cs="Calibri"/>
                <w:sz w:val="20"/>
                <w:szCs w:val="20"/>
                <w:lang w:eastAsia="en-AU"/>
              </w:rPr>
              <w:t>29%</w:t>
            </w:r>
          </w:p>
        </w:tc>
      </w:tr>
    </w:tbl>
    <w:p w:rsidR="00F03F83" w:rsidRDefault="00177E71" w:rsidP="00504B61">
      <w:pPr>
        <w:spacing w:before="120" w:after="120"/>
      </w:pPr>
      <w:r>
        <w:t>When considering the EALD students in the below average LPR range,</w:t>
      </w:r>
      <w:r w:rsidR="00062B20">
        <w:t xml:space="preserve"> </w:t>
      </w:r>
      <w:r>
        <w:t xml:space="preserve">the data illustrates that </w:t>
      </w:r>
      <w:r w:rsidR="00062B20">
        <w:t xml:space="preserve">in </w:t>
      </w:r>
      <w:r w:rsidR="00F06166">
        <w:t>2000 there w</w:t>
      </w:r>
      <w:r w:rsidR="003E0595">
        <w:t>as a substantially</w:t>
      </w:r>
      <w:r w:rsidR="00F06166">
        <w:t xml:space="preserve"> higher percentage</w:t>
      </w:r>
      <w:r w:rsidR="003E0595">
        <w:t xml:space="preserve"> across</w:t>
      </w:r>
      <w:r w:rsidR="00F06166">
        <w:t xml:space="preserve"> the upper two bands</w:t>
      </w:r>
      <w:r w:rsidR="003E0595">
        <w:t xml:space="preserve"> (with 77% of eligible students in the 2.0-3.75 range)</w:t>
      </w:r>
      <w:r w:rsidR="00134E07">
        <w:t>,</w:t>
      </w:r>
      <w:r w:rsidR="00F06166">
        <w:t xml:space="preserve"> while from 2007 on</w:t>
      </w:r>
      <w:r w:rsidR="00B30779">
        <w:t>,</w:t>
      </w:r>
      <w:r w:rsidR="00F06166">
        <w:t xml:space="preserve"> there has been a mor</w:t>
      </w:r>
      <w:r w:rsidR="00B30779">
        <w:t>e consistent spread across all four</w:t>
      </w:r>
      <w:r w:rsidR="00F06166">
        <w:t xml:space="preserve"> bands. </w:t>
      </w:r>
      <w:r>
        <w:t>In conjunction with the increasing number of EALD students at all levels of the LPR range, this has resulted in</w:t>
      </w:r>
      <w:r w:rsidR="00F06166">
        <w:t xml:space="preserve"> an increasing number of st</w:t>
      </w:r>
      <w:r w:rsidR="00F314C3">
        <w:t>udents in the lower bands</w:t>
      </w:r>
      <w:r w:rsidR="00134E07">
        <w:t>,</w:t>
      </w:r>
      <w:r w:rsidR="00F314C3">
        <w:t xml:space="preserve"> with less</w:t>
      </w:r>
      <w:r w:rsidR="00F06166">
        <w:t xml:space="preserve"> ability to speak and understand English.</w:t>
      </w:r>
    </w:p>
    <w:p w:rsidR="003E0595" w:rsidRDefault="003E0595" w:rsidP="00504B61">
      <w:pPr>
        <w:spacing w:before="120" w:after="120"/>
      </w:pPr>
    </w:p>
    <w:p w:rsidR="00C5618A" w:rsidRPr="00504B61" w:rsidRDefault="00E8224F" w:rsidP="00C13B7C">
      <w:pPr>
        <w:pStyle w:val="Heading2"/>
        <w:rPr>
          <w:rStyle w:val="BookTitle"/>
          <w:b/>
        </w:rPr>
      </w:pPr>
      <w:bookmarkStart w:id="53" w:name="_Toc321213911"/>
      <w:bookmarkStart w:id="54" w:name="_Toc321224505"/>
      <w:bookmarkStart w:id="55" w:name="_Toc322080316"/>
      <w:bookmarkStart w:id="56" w:name="_Toc322083112"/>
      <w:r>
        <w:rPr>
          <w:rStyle w:val="BookTitle"/>
          <w:b/>
        </w:rPr>
        <w:t>3</w:t>
      </w:r>
      <w:r w:rsidR="005E5DB6" w:rsidRPr="00504B61">
        <w:rPr>
          <w:rStyle w:val="BookTitle"/>
          <w:b/>
        </w:rPr>
        <w:t xml:space="preserve">.3 </w:t>
      </w:r>
      <w:bookmarkEnd w:id="53"/>
      <w:bookmarkEnd w:id="54"/>
      <w:r>
        <w:rPr>
          <w:rStyle w:val="BookTitle"/>
          <w:b/>
        </w:rPr>
        <w:t>System EALD Enrolments</w:t>
      </w:r>
      <w:bookmarkEnd w:id="55"/>
      <w:bookmarkEnd w:id="56"/>
    </w:p>
    <w:p w:rsidR="00E8224F" w:rsidRDefault="00FA1949" w:rsidP="00504B61">
      <w:pPr>
        <w:spacing w:before="120" w:after="120"/>
        <w:rPr>
          <w:rStyle w:val="BookTitle"/>
          <w:b w:val="0"/>
        </w:rPr>
      </w:pPr>
      <w:r w:rsidRPr="00504B61">
        <w:rPr>
          <w:rStyle w:val="BookTitle"/>
          <w:b w:val="0"/>
        </w:rPr>
        <w:t>The February</w:t>
      </w:r>
      <w:r w:rsidR="006D68A5" w:rsidRPr="00504B61">
        <w:rPr>
          <w:rStyle w:val="BookTitle"/>
          <w:b w:val="0"/>
        </w:rPr>
        <w:t xml:space="preserve"> </w:t>
      </w:r>
      <w:r w:rsidR="005E5DB6" w:rsidRPr="00504B61">
        <w:rPr>
          <w:rStyle w:val="BookTitle"/>
          <w:b w:val="0"/>
        </w:rPr>
        <w:t>Census</w:t>
      </w:r>
      <w:r w:rsidR="006D68A5" w:rsidRPr="00504B61">
        <w:rPr>
          <w:rStyle w:val="BookTitle"/>
          <w:b w:val="0"/>
        </w:rPr>
        <w:t xml:space="preserve"> </w:t>
      </w:r>
      <w:r w:rsidR="005E5DB6" w:rsidRPr="00504B61">
        <w:rPr>
          <w:rStyle w:val="BookTitle"/>
          <w:b w:val="0"/>
        </w:rPr>
        <w:t xml:space="preserve">data provides </w:t>
      </w:r>
      <w:r w:rsidR="00E8224F">
        <w:rPr>
          <w:rStyle w:val="BookTitle"/>
          <w:b w:val="0"/>
        </w:rPr>
        <w:t>information</w:t>
      </w:r>
      <w:r w:rsidR="005E5DB6" w:rsidRPr="00504B61">
        <w:rPr>
          <w:rStyle w:val="BookTitle"/>
          <w:b w:val="0"/>
        </w:rPr>
        <w:t xml:space="preserve"> on both system and EALD enrolments.</w:t>
      </w:r>
      <w:r w:rsidR="00C559BE">
        <w:rPr>
          <w:rStyle w:val="BookTitle"/>
          <w:b w:val="0"/>
        </w:rPr>
        <w:t xml:space="preserve"> </w:t>
      </w:r>
      <w:r w:rsidR="00062B20">
        <w:rPr>
          <w:rStyle w:val="BookTitle"/>
          <w:b w:val="0"/>
        </w:rPr>
        <w:t>Table 2 indicates the proportion of EALD students as a percentage of system enrolments</w:t>
      </w:r>
      <w:r w:rsidR="00C16B47">
        <w:rPr>
          <w:rStyle w:val="BookTitle"/>
          <w:b w:val="0"/>
        </w:rPr>
        <w:t>.</w:t>
      </w:r>
    </w:p>
    <w:p w:rsidR="00C5618A" w:rsidRDefault="002C0B96" w:rsidP="00E8224F">
      <w:pPr>
        <w:spacing w:before="120" w:after="120" w:line="240" w:lineRule="auto"/>
        <w:rPr>
          <w:rStyle w:val="DefaultChar"/>
          <w:rFonts w:ascii="Calibri" w:eastAsia="Calibri" w:hAnsi="Calibri" w:cs="Calibri"/>
          <w:b/>
          <w:i/>
          <w:color w:val="auto"/>
          <w:sz w:val="20"/>
          <w:szCs w:val="20"/>
        </w:rPr>
      </w:pPr>
      <w:r w:rsidRPr="00492199">
        <w:rPr>
          <w:rStyle w:val="DefaultChar"/>
          <w:rFonts w:ascii="Calibri" w:eastAsia="Calibri" w:hAnsi="Calibri" w:cs="Calibri"/>
          <w:b/>
          <w:i/>
          <w:color w:val="auto"/>
          <w:sz w:val="20"/>
          <w:szCs w:val="20"/>
        </w:rPr>
        <w:t>Table 2</w:t>
      </w:r>
      <w:r w:rsidR="00C5618A" w:rsidRPr="00492199">
        <w:rPr>
          <w:rStyle w:val="DefaultChar"/>
          <w:rFonts w:ascii="Calibri" w:eastAsia="Calibri" w:hAnsi="Calibri" w:cs="Calibri"/>
          <w:b/>
          <w:i/>
          <w:color w:val="auto"/>
          <w:sz w:val="20"/>
          <w:szCs w:val="20"/>
        </w:rPr>
        <w:t xml:space="preserve"> – EALD as a percentage of system enrolments </w:t>
      </w:r>
    </w:p>
    <w:tbl>
      <w:tblPr>
        <w:tblW w:w="680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984"/>
        <w:gridCol w:w="1843"/>
        <w:gridCol w:w="1701"/>
      </w:tblGrid>
      <w:tr w:rsidR="00C5618A" w:rsidRPr="00DA4655" w:rsidTr="00D57A1D">
        <w:trPr>
          <w:trHeight w:val="510"/>
          <w:jc w:val="center"/>
        </w:trPr>
        <w:tc>
          <w:tcPr>
            <w:tcW w:w="1276" w:type="dxa"/>
            <w:shd w:val="clear" w:color="auto" w:fill="auto"/>
            <w:noWrap/>
            <w:vAlign w:val="bottom"/>
            <w:hideMark/>
          </w:tcPr>
          <w:p w:rsidR="00C5618A" w:rsidRPr="00DA4655" w:rsidRDefault="00C5618A" w:rsidP="00E8224F">
            <w:pPr>
              <w:spacing w:before="120" w:after="120"/>
              <w:rPr>
                <w:rFonts w:eastAsia="Times New Roman" w:cs="Calibri"/>
                <w:b/>
                <w:bCs/>
                <w:sz w:val="20"/>
                <w:szCs w:val="20"/>
                <w:lang w:eastAsia="en-AU"/>
              </w:rPr>
            </w:pPr>
            <w:r w:rsidRPr="00DA4655">
              <w:rPr>
                <w:rFonts w:eastAsia="Times New Roman" w:cs="Calibri"/>
                <w:b/>
                <w:bCs/>
                <w:sz w:val="20"/>
                <w:szCs w:val="20"/>
                <w:lang w:eastAsia="en-AU"/>
              </w:rPr>
              <w:t>Census Year</w:t>
            </w:r>
          </w:p>
        </w:tc>
        <w:tc>
          <w:tcPr>
            <w:tcW w:w="1984" w:type="dxa"/>
            <w:shd w:val="clear" w:color="auto" w:fill="auto"/>
            <w:noWrap/>
            <w:vAlign w:val="bottom"/>
            <w:hideMark/>
          </w:tcPr>
          <w:p w:rsidR="00C5618A" w:rsidRPr="00DA4655" w:rsidRDefault="00C5618A" w:rsidP="00E8224F">
            <w:pPr>
              <w:spacing w:before="120" w:after="120"/>
              <w:rPr>
                <w:rFonts w:eastAsia="Times New Roman" w:cs="Calibri"/>
                <w:b/>
                <w:bCs/>
                <w:sz w:val="20"/>
                <w:szCs w:val="20"/>
                <w:lang w:eastAsia="en-AU"/>
              </w:rPr>
            </w:pPr>
            <w:r w:rsidRPr="00DA4655">
              <w:rPr>
                <w:rFonts w:eastAsia="Times New Roman" w:cs="Calibri"/>
                <w:b/>
                <w:bCs/>
                <w:sz w:val="20"/>
                <w:szCs w:val="20"/>
                <w:lang w:eastAsia="en-AU"/>
              </w:rPr>
              <w:t>System Enrolments</w:t>
            </w:r>
          </w:p>
        </w:tc>
        <w:tc>
          <w:tcPr>
            <w:tcW w:w="1843" w:type="dxa"/>
            <w:shd w:val="clear" w:color="auto" w:fill="auto"/>
            <w:noWrap/>
            <w:vAlign w:val="bottom"/>
            <w:hideMark/>
          </w:tcPr>
          <w:p w:rsidR="00C5618A" w:rsidRPr="00DA4655" w:rsidRDefault="00C5618A" w:rsidP="00E8224F">
            <w:pPr>
              <w:spacing w:before="120" w:after="120"/>
              <w:rPr>
                <w:rFonts w:eastAsia="Times New Roman" w:cs="Calibri"/>
                <w:b/>
                <w:bCs/>
                <w:sz w:val="20"/>
                <w:szCs w:val="20"/>
                <w:lang w:eastAsia="en-AU"/>
              </w:rPr>
            </w:pPr>
            <w:r w:rsidRPr="00DA4655">
              <w:rPr>
                <w:rFonts w:eastAsia="Times New Roman" w:cs="Calibri"/>
                <w:b/>
                <w:bCs/>
                <w:sz w:val="20"/>
                <w:szCs w:val="20"/>
                <w:lang w:eastAsia="en-AU"/>
              </w:rPr>
              <w:t>EALD Enrolments</w:t>
            </w:r>
          </w:p>
        </w:tc>
        <w:tc>
          <w:tcPr>
            <w:tcW w:w="1701" w:type="dxa"/>
            <w:shd w:val="clear" w:color="auto" w:fill="auto"/>
            <w:noWrap/>
            <w:vAlign w:val="bottom"/>
            <w:hideMark/>
          </w:tcPr>
          <w:p w:rsidR="00C5618A" w:rsidRPr="00DA4655" w:rsidRDefault="00C5618A" w:rsidP="00E8224F">
            <w:pPr>
              <w:spacing w:before="120" w:after="120"/>
              <w:rPr>
                <w:rFonts w:eastAsia="Times New Roman" w:cs="Calibri"/>
                <w:b/>
                <w:bCs/>
                <w:sz w:val="20"/>
                <w:szCs w:val="20"/>
                <w:lang w:eastAsia="en-AU"/>
              </w:rPr>
            </w:pPr>
            <w:r w:rsidRPr="00DA4655">
              <w:rPr>
                <w:rFonts w:eastAsia="Times New Roman" w:cs="Calibri"/>
                <w:b/>
                <w:bCs/>
                <w:sz w:val="20"/>
                <w:szCs w:val="20"/>
                <w:lang w:eastAsia="en-AU"/>
              </w:rPr>
              <w:t>EALD % of System</w:t>
            </w:r>
          </w:p>
        </w:tc>
      </w:tr>
      <w:tr w:rsidR="00C5618A" w:rsidRPr="00DA4655" w:rsidTr="00D57A1D">
        <w:trPr>
          <w:trHeight w:val="270"/>
          <w:jc w:val="center"/>
        </w:trPr>
        <w:tc>
          <w:tcPr>
            <w:tcW w:w="1276" w:type="dxa"/>
            <w:shd w:val="clear" w:color="auto" w:fill="auto"/>
            <w:noWrap/>
            <w:vAlign w:val="bottom"/>
            <w:hideMark/>
          </w:tcPr>
          <w:p w:rsidR="00C5618A" w:rsidRPr="00DA4655" w:rsidRDefault="00C5618A" w:rsidP="00E8224F">
            <w:pPr>
              <w:spacing w:before="120" w:after="120"/>
              <w:rPr>
                <w:rFonts w:eastAsia="Times New Roman" w:cs="Calibri"/>
                <w:bCs/>
                <w:sz w:val="20"/>
                <w:szCs w:val="20"/>
                <w:lang w:eastAsia="en-AU"/>
              </w:rPr>
            </w:pPr>
            <w:r w:rsidRPr="00DA4655">
              <w:rPr>
                <w:rFonts w:eastAsia="Times New Roman" w:cs="Calibri"/>
                <w:bCs/>
                <w:sz w:val="20"/>
                <w:szCs w:val="20"/>
                <w:lang w:eastAsia="en-AU"/>
              </w:rPr>
              <w:t>Feb-07</w:t>
            </w:r>
          </w:p>
        </w:tc>
        <w:tc>
          <w:tcPr>
            <w:tcW w:w="1984" w:type="dxa"/>
            <w:shd w:val="clear" w:color="auto" w:fill="auto"/>
            <w:noWrap/>
            <w:vAlign w:val="bottom"/>
            <w:hideMark/>
          </w:tcPr>
          <w:p w:rsidR="00C5618A" w:rsidRPr="00DA4655" w:rsidRDefault="00C5618A" w:rsidP="00E8224F">
            <w:pPr>
              <w:spacing w:before="120" w:after="120"/>
              <w:rPr>
                <w:rFonts w:eastAsia="Times New Roman" w:cs="Calibri"/>
                <w:bCs/>
                <w:sz w:val="20"/>
                <w:szCs w:val="20"/>
                <w:lang w:eastAsia="en-AU"/>
              </w:rPr>
            </w:pPr>
            <w:r w:rsidRPr="00DA4655">
              <w:rPr>
                <w:rFonts w:eastAsia="Times New Roman" w:cs="Calibri"/>
                <w:bCs/>
                <w:sz w:val="20"/>
                <w:szCs w:val="20"/>
                <w:lang w:eastAsia="en-AU"/>
              </w:rPr>
              <w:t>36764</w:t>
            </w:r>
          </w:p>
        </w:tc>
        <w:tc>
          <w:tcPr>
            <w:tcW w:w="1843" w:type="dxa"/>
            <w:shd w:val="clear" w:color="auto" w:fill="auto"/>
            <w:noWrap/>
            <w:vAlign w:val="bottom"/>
            <w:hideMark/>
          </w:tcPr>
          <w:p w:rsidR="00C5618A" w:rsidRPr="00DA4655" w:rsidRDefault="00C5618A" w:rsidP="00E8224F">
            <w:pPr>
              <w:spacing w:before="120" w:after="120"/>
              <w:rPr>
                <w:rFonts w:eastAsia="Times New Roman" w:cs="Calibri"/>
                <w:bCs/>
                <w:sz w:val="20"/>
                <w:szCs w:val="20"/>
                <w:lang w:eastAsia="en-AU"/>
              </w:rPr>
            </w:pPr>
            <w:r w:rsidRPr="00DA4655">
              <w:rPr>
                <w:rFonts w:eastAsia="Times New Roman" w:cs="Calibri"/>
                <w:bCs/>
                <w:sz w:val="20"/>
                <w:szCs w:val="20"/>
                <w:lang w:eastAsia="en-AU"/>
              </w:rPr>
              <w:t>3485</w:t>
            </w:r>
          </w:p>
        </w:tc>
        <w:tc>
          <w:tcPr>
            <w:tcW w:w="1701" w:type="dxa"/>
            <w:shd w:val="clear" w:color="auto" w:fill="auto"/>
            <w:noWrap/>
            <w:vAlign w:val="bottom"/>
            <w:hideMark/>
          </w:tcPr>
          <w:p w:rsidR="00C5618A" w:rsidRPr="00DA4655" w:rsidRDefault="00C5618A" w:rsidP="00E8224F">
            <w:pPr>
              <w:spacing w:before="120" w:after="120"/>
              <w:rPr>
                <w:rFonts w:eastAsia="Times New Roman" w:cs="Calibri"/>
                <w:sz w:val="20"/>
                <w:szCs w:val="20"/>
                <w:lang w:eastAsia="en-AU"/>
              </w:rPr>
            </w:pPr>
            <w:r w:rsidRPr="00DA4655">
              <w:rPr>
                <w:rFonts w:eastAsia="Times New Roman" w:cs="Calibri"/>
                <w:sz w:val="20"/>
                <w:szCs w:val="20"/>
                <w:lang w:eastAsia="en-AU"/>
              </w:rPr>
              <w:t>9.4%</w:t>
            </w:r>
          </w:p>
        </w:tc>
      </w:tr>
      <w:tr w:rsidR="00C5618A" w:rsidRPr="00DA4655" w:rsidTr="00D57A1D">
        <w:trPr>
          <w:trHeight w:val="270"/>
          <w:jc w:val="center"/>
        </w:trPr>
        <w:tc>
          <w:tcPr>
            <w:tcW w:w="1276" w:type="dxa"/>
            <w:shd w:val="clear" w:color="auto" w:fill="auto"/>
            <w:noWrap/>
            <w:vAlign w:val="bottom"/>
            <w:hideMark/>
          </w:tcPr>
          <w:p w:rsidR="00C5618A" w:rsidRPr="00DA4655" w:rsidRDefault="00C5618A" w:rsidP="00E8224F">
            <w:pPr>
              <w:spacing w:before="120" w:after="120"/>
              <w:rPr>
                <w:rFonts w:eastAsia="Times New Roman" w:cs="Calibri"/>
                <w:bCs/>
                <w:sz w:val="20"/>
                <w:szCs w:val="20"/>
                <w:lang w:eastAsia="en-AU"/>
              </w:rPr>
            </w:pPr>
            <w:r w:rsidRPr="00DA4655">
              <w:rPr>
                <w:rFonts w:eastAsia="Times New Roman" w:cs="Calibri"/>
                <w:bCs/>
                <w:sz w:val="20"/>
                <w:szCs w:val="20"/>
                <w:lang w:eastAsia="en-AU"/>
              </w:rPr>
              <w:t>Feb-08</w:t>
            </w:r>
          </w:p>
        </w:tc>
        <w:tc>
          <w:tcPr>
            <w:tcW w:w="1984" w:type="dxa"/>
            <w:shd w:val="clear" w:color="auto" w:fill="auto"/>
            <w:noWrap/>
            <w:vAlign w:val="bottom"/>
            <w:hideMark/>
          </w:tcPr>
          <w:p w:rsidR="00C5618A" w:rsidRPr="00DA4655" w:rsidRDefault="00C5618A" w:rsidP="00E8224F">
            <w:pPr>
              <w:spacing w:before="120" w:after="120"/>
              <w:rPr>
                <w:rFonts w:eastAsia="Times New Roman" w:cs="Calibri"/>
                <w:bCs/>
                <w:sz w:val="20"/>
                <w:szCs w:val="20"/>
                <w:lang w:eastAsia="en-AU"/>
              </w:rPr>
            </w:pPr>
            <w:r w:rsidRPr="00DA4655">
              <w:rPr>
                <w:rFonts w:eastAsia="Times New Roman" w:cs="Calibri"/>
                <w:bCs/>
                <w:sz w:val="20"/>
                <w:szCs w:val="20"/>
                <w:lang w:eastAsia="en-AU"/>
              </w:rPr>
              <w:t>36207</w:t>
            </w:r>
          </w:p>
        </w:tc>
        <w:tc>
          <w:tcPr>
            <w:tcW w:w="1843" w:type="dxa"/>
            <w:shd w:val="clear" w:color="auto" w:fill="auto"/>
            <w:noWrap/>
            <w:vAlign w:val="bottom"/>
            <w:hideMark/>
          </w:tcPr>
          <w:p w:rsidR="00C5618A" w:rsidRPr="00DA4655" w:rsidRDefault="00C5618A" w:rsidP="00E8224F">
            <w:pPr>
              <w:spacing w:before="120" w:after="120"/>
              <w:rPr>
                <w:rFonts w:eastAsia="Times New Roman" w:cs="Calibri"/>
                <w:bCs/>
                <w:sz w:val="20"/>
                <w:szCs w:val="20"/>
                <w:lang w:eastAsia="en-AU"/>
              </w:rPr>
            </w:pPr>
            <w:r w:rsidRPr="00DA4655">
              <w:rPr>
                <w:rFonts w:eastAsia="Times New Roman" w:cs="Calibri"/>
                <w:bCs/>
                <w:sz w:val="20"/>
                <w:szCs w:val="20"/>
                <w:lang w:eastAsia="en-AU"/>
              </w:rPr>
              <w:t>3694</w:t>
            </w:r>
          </w:p>
        </w:tc>
        <w:tc>
          <w:tcPr>
            <w:tcW w:w="1701" w:type="dxa"/>
            <w:shd w:val="clear" w:color="auto" w:fill="auto"/>
            <w:noWrap/>
            <w:vAlign w:val="bottom"/>
            <w:hideMark/>
          </w:tcPr>
          <w:p w:rsidR="00C5618A" w:rsidRPr="00DA4655" w:rsidRDefault="00C5618A" w:rsidP="00E8224F">
            <w:pPr>
              <w:spacing w:before="120" w:after="120"/>
              <w:rPr>
                <w:rFonts w:eastAsia="Times New Roman" w:cs="Calibri"/>
                <w:sz w:val="20"/>
                <w:szCs w:val="20"/>
                <w:lang w:eastAsia="en-AU"/>
              </w:rPr>
            </w:pPr>
            <w:r w:rsidRPr="00DA4655">
              <w:rPr>
                <w:rFonts w:eastAsia="Times New Roman" w:cs="Calibri"/>
                <w:sz w:val="20"/>
                <w:szCs w:val="20"/>
                <w:lang w:eastAsia="en-AU"/>
              </w:rPr>
              <w:t>10.2%</w:t>
            </w:r>
          </w:p>
        </w:tc>
      </w:tr>
      <w:tr w:rsidR="00C5618A" w:rsidRPr="00DA4655" w:rsidTr="00D57A1D">
        <w:trPr>
          <w:trHeight w:val="270"/>
          <w:jc w:val="center"/>
        </w:trPr>
        <w:tc>
          <w:tcPr>
            <w:tcW w:w="1276" w:type="dxa"/>
            <w:shd w:val="clear" w:color="auto" w:fill="auto"/>
            <w:noWrap/>
            <w:vAlign w:val="bottom"/>
            <w:hideMark/>
          </w:tcPr>
          <w:p w:rsidR="00C5618A" w:rsidRPr="00DA4655" w:rsidRDefault="00C5618A" w:rsidP="00E8224F">
            <w:pPr>
              <w:spacing w:before="120" w:after="120"/>
              <w:rPr>
                <w:rFonts w:eastAsia="Times New Roman" w:cs="Calibri"/>
                <w:bCs/>
                <w:sz w:val="20"/>
                <w:szCs w:val="20"/>
                <w:lang w:eastAsia="en-AU"/>
              </w:rPr>
            </w:pPr>
            <w:r w:rsidRPr="00DA4655">
              <w:rPr>
                <w:rFonts w:eastAsia="Times New Roman" w:cs="Calibri"/>
                <w:bCs/>
                <w:sz w:val="20"/>
                <w:szCs w:val="20"/>
                <w:lang w:eastAsia="en-AU"/>
              </w:rPr>
              <w:t>Feb-09</w:t>
            </w:r>
          </w:p>
        </w:tc>
        <w:tc>
          <w:tcPr>
            <w:tcW w:w="1984" w:type="dxa"/>
            <w:shd w:val="clear" w:color="auto" w:fill="auto"/>
            <w:noWrap/>
            <w:vAlign w:val="bottom"/>
            <w:hideMark/>
          </w:tcPr>
          <w:p w:rsidR="00C5618A" w:rsidRPr="00DA4655" w:rsidRDefault="00C5618A" w:rsidP="00E8224F">
            <w:pPr>
              <w:spacing w:before="120" w:after="120"/>
              <w:rPr>
                <w:rFonts w:eastAsia="Times New Roman" w:cs="Calibri"/>
                <w:bCs/>
                <w:sz w:val="20"/>
                <w:szCs w:val="20"/>
                <w:lang w:eastAsia="en-AU"/>
              </w:rPr>
            </w:pPr>
            <w:r w:rsidRPr="00DA4655">
              <w:rPr>
                <w:rFonts w:eastAsia="Times New Roman" w:cs="Calibri"/>
                <w:bCs/>
                <w:sz w:val="20"/>
                <w:szCs w:val="20"/>
                <w:lang w:eastAsia="en-AU"/>
              </w:rPr>
              <w:t>36079</w:t>
            </w:r>
          </w:p>
        </w:tc>
        <w:tc>
          <w:tcPr>
            <w:tcW w:w="1843" w:type="dxa"/>
            <w:shd w:val="clear" w:color="auto" w:fill="auto"/>
            <w:noWrap/>
            <w:vAlign w:val="bottom"/>
            <w:hideMark/>
          </w:tcPr>
          <w:p w:rsidR="00C5618A" w:rsidRPr="00DA4655" w:rsidRDefault="00C5618A" w:rsidP="00E8224F">
            <w:pPr>
              <w:spacing w:before="120" w:after="120"/>
              <w:rPr>
                <w:rFonts w:eastAsia="Times New Roman" w:cs="Calibri"/>
                <w:sz w:val="20"/>
                <w:szCs w:val="20"/>
                <w:lang w:eastAsia="en-AU"/>
              </w:rPr>
            </w:pPr>
            <w:r w:rsidRPr="00DA4655">
              <w:rPr>
                <w:rFonts w:eastAsia="Times New Roman" w:cs="Calibri"/>
                <w:sz w:val="20"/>
                <w:szCs w:val="20"/>
                <w:lang w:eastAsia="en-AU"/>
              </w:rPr>
              <w:t>3948</w:t>
            </w:r>
          </w:p>
        </w:tc>
        <w:tc>
          <w:tcPr>
            <w:tcW w:w="1701" w:type="dxa"/>
            <w:shd w:val="clear" w:color="auto" w:fill="auto"/>
            <w:noWrap/>
            <w:vAlign w:val="bottom"/>
            <w:hideMark/>
          </w:tcPr>
          <w:p w:rsidR="00C5618A" w:rsidRPr="00DA4655" w:rsidRDefault="00C5618A" w:rsidP="00E8224F">
            <w:pPr>
              <w:spacing w:before="120" w:after="120"/>
              <w:rPr>
                <w:rFonts w:eastAsia="Times New Roman" w:cs="Calibri"/>
                <w:sz w:val="20"/>
                <w:szCs w:val="20"/>
                <w:lang w:eastAsia="en-AU"/>
              </w:rPr>
            </w:pPr>
            <w:r w:rsidRPr="00DA4655">
              <w:rPr>
                <w:rFonts w:eastAsia="Times New Roman" w:cs="Calibri"/>
                <w:sz w:val="20"/>
                <w:szCs w:val="20"/>
                <w:lang w:eastAsia="en-AU"/>
              </w:rPr>
              <w:t>11.0%</w:t>
            </w:r>
          </w:p>
        </w:tc>
      </w:tr>
      <w:tr w:rsidR="00C5618A" w:rsidRPr="00DA4655" w:rsidTr="00D57A1D">
        <w:trPr>
          <w:trHeight w:val="270"/>
          <w:jc w:val="center"/>
        </w:trPr>
        <w:tc>
          <w:tcPr>
            <w:tcW w:w="1276" w:type="dxa"/>
            <w:shd w:val="clear" w:color="auto" w:fill="auto"/>
            <w:noWrap/>
            <w:vAlign w:val="bottom"/>
            <w:hideMark/>
          </w:tcPr>
          <w:p w:rsidR="00C5618A" w:rsidRPr="00DA4655" w:rsidRDefault="00C5618A" w:rsidP="00E8224F">
            <w:pPr>
              <w:spacing w:before="120" w:after="120"/>
              <w:rPr>
                <w:rFonts w:eastAsia="Times New Roman" w:cs="Calibri"/>
                <w:bCs/>
                <w:sz w:val="20"/>
                <w:szCs w:val="20"/>
                <w:lang w:eastAsia="en-AU"/>
              </w:rPr>
            </w:pPr>
            <w:r w:rsidRPr="00DA4655">
              <w:rPr>
                <w:rFonts w:eastAsia="Times New Roman" w:cs="Calibri"/>
                <w:bCs/>
                <w:sz w:val="20"/>
                <w:szCs w:val="20"/>
                <w:lang w:eastAsia="en-AU"/>
              </w:rPr>
              <w:t>Feb-10</w:t>
            </w:r>
          </w:p>
        </w:tc>
        <w:tc>
          <w:tcPr>
            <w:tcW w:w="1984" w:type="dxa"/>
            <w:shd w:val="clear" w:color="auto" w:fill="auto"/>
            <w:noWrap/>
            <w:vAlign w:val="bottom"/>
            <w:hideMark/>
          </w:tcPr>
          <w:p w:rsidR="00C5618A" w:rsidRPr="00DA4655" w:rsidRDefault="00C5618A" w:rsidP="00E8224F">
            <w:pPr>
              <w:spacing w:before="120" w:after="120"/>
              <w:rPr>
                <w:rFonts w:eastAsia="Times New Roman" w:cs="Calibri"/>
                <w:bCs/>
                <w:sz w:val="20"/>
                <w:szCs w:val="20"/>
                <w:lang w:eastAsia="en-AU"/>
              </w:rPr>
            </w:pPr>
            <w:r w:rsidRPr="00DA4655">
              <w:rPr>
                <w:rFonts w:eastAsia="Times New Roman" w:cs="Calibri"/>
                <w:bCs/>
                <w:sz w:val="20"/>
                <w:szCs w:val="20"/>
                <w:lang w:eastAsia="en-AU"/>
              </w:rPr>
              <w:t>36355</w:t>
            </w:r>
          </w:p>
        </w:tc>
        <w:tc>
          <w:tcPr>
            <w:tcW w:w="1843" w:type="dxa"/>
            <w:shd w:val="clear" w:color="auto" w:fill="auto"/>
            <w:noWrap/>
            <w:vAlign w:val="bottom"/>
            <w:hideMark/>
          </w:tcPr>
          <w:p w:rsidR="00C5618A" w:rsidRPr="00DA4655" w:rsidRDefault="00C5618A" w:rsidP="00E8224F">
            <w:pPr>
              <w:spacing w:before="120" w:after="120"/>
              <w:rPr>
                <w:rFonts w:eastAsia="Times New Roman" w:cs="Calibri"/>
                <w:sz w:val="20"/>
                <w:szCs w:val="20"/>
                <w:lang w:eastAsia="en-AU"/>
              </w:rPr>
            </w:pPr>
            <w:r w:rsidRPr="00DA4655">
              <w:rPr>
                <w:rFonts w:eastAsia="Times New Roman" w:cs="Calibri"/>
                <w:sz w:val="20"/>
                <w:szCs w:val="20"/>
                <w:lang w:eastAsia="en-AU"/>
              </w:rPr>
              <w:t>4158</w:t>
            </w:r>
          </w:p>
        </w:tc>
        <w:tc>
          <w:tcPr>
            <w:tcW w:w="1701" w:type="dxa"/>
            <w:shd w:val="clear" w:color="auto" w:fill="auto"/>
            <w:noWrap/>
            <w:vAlign w:val="bottom"/>
            <w:hideMark/>
          </w:tcPr>
          <w:p w:rsidR="00C5618A" w:rsidRPr="00DA4655" w:rsidRDefault="00C5618A" w:rsidP="00E8224F">
            <w:pPr>
              <w:spacing w:before="120" w:after="120"/>
              <w:rPr>
                <w:rFonts w:eastAsia="Times New Roman" w:cs="Calibri"/>
                <w:sz w:val="20"/>
                <w:szCs w:val="20"/>
                <w:lang w:eastAsia="en-AU"/>
              </w:rPr>
            </w:pPr>
            <w:r w:rsidRPr="00DA4655">
              <w:rPr>
                <w:rFonts w:eastAsia="Times New Roman" w:cs="Calibri"/>
                <w:sz w:val="20"/>
                <w:szCs w:val="20"/>
                <w:lang w:eastAsia="en-AU"/>
              </w:rPr>
              <w:t>11.4%</w:t>
            </w:r>
          </w:p>
        </w:tc>
      </w:tr>
      <w:tr w:rsidR="00C5618A" w:rsidRPr="00DA4655" w:rsidTr="00D57A1D">
        <w:trPr>
          <w:trHeight w:val="270"/>
          <w:jc w:val="center"/>
        </w:trPr>
        <w:tc>
          <w:tcPr>
            <w:tcW w:w="1276" w:type="dxa"/>
            <w:shd w:val="clear" w:color="auto" w:fill="auto"/>
            <w:noWrap/>
            <w:vAlign w:val="bottom"/>
            <w:hideMark/>
          </w:tcPr>
          <w:p w:rsidR="00C5618A" w:rsidRPr="00DA4655" w:rsidRDefault="00C5618A" w:rsidP="00E8224F">
            <w:pPr>
              <w:spacing w:before="120" w:after="120"/>
              <w:rPr>
                <w:rFonts w:eastAsia="Times New Roman" w:cs="Calibri"/>
                <w:bCs/>
                <w:sz w:val="20"/>
                <w:szCs w:val="20"/>
                <w:lang w:eastAsia="en-AU"/>
              </w:rPr>
            </w:pPr>
            <w:r w:rsidRPr="00DA4655">
              <w:rPr>
                <w:rFonts w:eastAsia="Times New Roman" w:cs="Calibri"/>
                <w:bCs/>
                <w:sz w:val="20"/>
                <w:szCs w:val="20"/>
                <w:lang w:eastAsia="en-AU"/>
              </w:rPr>
              <w:t>Feb-11</w:t>
            </w:r>
          </w:p>
        </w:tc>
        <w:tc>
          <w:tcPr>
            <w:tcW w:w="1984" w:type="dxa"/>
            <w:shd w:val="clear" w:color="auto" w:fill="auto"/>
            <w:noWrap/>
            <w:vAlign w:val="bottom"/>
            <w:hideMark/>
          </w:tcPr>
          <w:p w:rsidR="00C5618A" w:rsidRPr="00DA4655" w:rsidRDefault="00C5618A" w:rsidP="00E8224F">
            <w:pPr>
              <w:spacing w:before="120" w:after="120"/>
              <w:rPr>
                <w:rFonts w:eastAsia="Times New Roman" w:cs="Calibri"/>
                <w:bCs/>
                <w:sz w:val="20"/>
                <w:szCs w:val="20"/>
                <w:lang w:eastAsia="en-AU"/>
              </w:rPr>
            </w:pPr>
            <w:r w:rsidRPr="00DA4655">
              <w:rPr>
                <w:rFonts w:eastAsia="Times New Roman" w:cs="Calibri"/>
                <w:bCs/>
                <w:sz w:val="20"/>
                <w:szCs w:val="20"/>
                <w:lang w:eastAsia="en-AU"/>
              </w:rPr>
              <w:t>36541</w:t>
            </w:r>
          </w:p>
        </w:tc>
        <w:tc>
          <w:tcPr>
            <w:tcW w:w="1843" w:type="dxa"/>
            <w:shd w:val="clear" w:color="auto" w:fill="auto"/>
            <w:noWrap/>
            <w:vAlign w:val="bottom"/>
            <w:hideMark/>
          </w:tcPr>
          <w:p w:rsidR="00C5618A" w:rsidRPr="00DA4655" w:rsidRDefault="00C5618A" w:rsidP="00E8224F">
            <w:pPr>
              <w:spacing w:before="120" w:after="120"/>
              <w:rPr>
                <w:rFonts w:eastAsia="Times New Roman" w:cs="Calibri"/>
                <w:sz w:val="20"/>
                <w:szCs w:val="20"/>
                <w:lang w:eastAsia="en-AU"/>
              </w:rPr>
            </w:pPr>
            <w:r w:rsidRPr="00DA4655">
              <w:rPr>
                <w:rFonts w:eastAsia="Times New Roman" w:cs="Calibri"/>
                <w:sz w:val="20"/>
                <w:szCs w:val="20"/>
                <w:lang w:eastAsia="en-AU"/>
              </w:rPr>
              <w:t>4382</w:t>
            </w:r>
          </w:p>
        </w:tc>
        <w:tc>
          <w:tcPr>
            <w:tcW w:w="1701" w:type="dxa"/>
            <w:shd w:val="clear" w:color="auto" w:fill="auto"/>
            <w:noWrap/>
            <w:vAlign w:val="bottom"/>
            <w:hideMark/>
          </w:tcPr>
          <w:p w:rsidR="00C5618A" w:rsidRPr="00DA4655" w:rsidRDefault="00C5618A" w:rsidP="00E8224F">
            <w:pPr>
              <w:spacing w:before="120" w:after="120"/>
              <w:rPr>
                <w:rFonts w:eastAsia="Times New Roman" w:cs="Calibri"/>
                <w:sz w:val="20"/>
                <w:szCs w:val="20"/>
                <w:lang w:eastAsia="en-AU"/>
              </w:rPr>
            </w:pPr>
            <w:r w:rsidRPr="00DA4655">
              <w:rPr>
                <w:rFonts w:eastAsia="Times New Roman" w:cs="Calibri"/>
                <w:sz w:val="20"/>
                <w:szCs w:val="20"/>
                <w:lang w:eastAsia="en-AU"/>
              </w:rPr>
              <w:t>12.0%</w:t>
            </w:r>
          </w:p>
        </w:tc>
      </w:tr>
      <w:tr w:rsidR="00C5618A" w:rsidRPr="00DA4655" w:rsidTr="00D57A1D">
        <w:trPr>
          <w:trHeight w:val="270"/>
          <w:jc w:val="center"/>
        </w:trPr>
        <w:tc>
          <w:tcPr>
            <w:tcW w:w="1276" w:type="dxa"/>
            <w:shd w:val="clear" w:color="auto" w:fill="auto"/>
            <w:noWrap/>
            <w:vAlign w:val="bottom"/>
            <w:hideMark/>
          </w:tcPr>
          <w:p w:rsidR="00C5618A" w:rsidRPr="00DA4655" w:rsidRDefault="00C5618A" w:rsidP="00E8224F">
            <w:pPr>
              <w:spacing w:before="120" w:after="120"/>
              <w:rPr>
                <w:rFonts w:eastAsia="Times New Roman" w:cs="Calibri"/>
                <w:bCs/>
                <w:sz w:val="20"/>
                <w:szCs w:val="20"/>
                <w:lang w:eastAsia="en-AU"/>
              </w:rPr>
            </w:pPr>
            <w:r w:rsidRPr="00DA4655">
              <w:rPr>
                <w:rFonts w:eastAsia="Times New Roman" w:cs="Calibri"/>
                <w:bCs/>
                <w:sz w:val="20"/>
                <w:szCs w:val="20"/>
                <w:lang w:eastAsia="en-AU"/>
              </w:rPr>
              <w:t>Feb-12</w:t>
            </w:r>
          </w:p>
        </w:tc>
        <w:tc>
          <w:tcPr>
            <w:tcW w:w="1984" w:type="dxa"/>
            <w:shd w:val="clear" w:color="auto" w:fill="auto"/>
            <w:noWrap/>
            <w:vAlign w:val="bottom"/>
            <w:hideMark/>
          </w:tcPr>
          <w:p w:rsidR="00C5618A" w:rsidRPr="00DA4655" w:rsidRDefault="00C5618A" w:rsidP="00E8224F">
            <w:pPr>
              <w:spacing w:before="120" w:after="120"/>
              <w:rPr>
                <w:rFonts w:eastAsia="Times New Roman" w:cs="Calibri"/>
                <w:bCs/>
                <w:sz w:val="20"/>
                <w:szCs w:val="20"/>
                <w:lang w:eastAsia="en-AU"/>
              </w:rPr>
            </w:pPr>
            <w:r w:rsidRPr="00DA4655">
              <w:rPr>
                <w:rFonts w:eastAsia="Times New Roman" w:cs="Calibri"/>
                <w:bCs/>
                <w:sz w:val="20"/>
                <w:szCs w:val="20"/>
                <w:lang w:eastAsia="en-AU"/>
              </w:rPr>
              <w:t>37757</w:t>
            </w:r>
          </w:p>
        </w:tc>
        <w:tc>
          <w:tcPr>
            <w:tcW w:w="1843" w:type="dxa"/>
            <w:shd w:val="clear" w:color="auto" w:fill="auto"/>
            <w:noWrap/>
            <w:vAlign w:val="bottom"/>
            <w:hideMark/>
          </w:tcPr>
          <w:p w:rsidR="00C5618A" w:rsidRPr="00DA4655" w:rsidRDefault="00C5618A" w:rsidP="00C93DBB">
            <w:pPr>
              <w:spacing w:before="120" w:after="120"/>
              <w:rPr>
                <w:rFonts w:eastAsia="Times New Roman" w:cs="Calibri"/>
                <w:bCs/>
                <w:sz w:val="20"/>
                <w:szCs w:val="20"/>
                <w:lang w:eastAsia="en-AU"/>
              </w:rPr>
            </w:pPr>
            <w:r w:rsidRPr="005F438A">
              <w:rPr>
                <w:rFonts w:eastAsia="Times New Roman" w:cs="Calibri"/>
                <w:bCs/>
                <w:sz w:val="20"/>
                <w:szCs w:val="20"/>
                <w:lang w:eastAsia="en-AU"/>
              </w:rPr>
              <w:t>47</w:t>
            </w:r>
            <w:r w:rsidR="00C93DBB" w:rsidRPr="005F438A">
              <w:rPr>
                <w:rFonts w:eastAsia="Times New Roman" w:cs="Calibri"/>
                <w:bCs/>
                <w:sz w:val="20"/>
                <w:szCs w:val="20"/>
                <w:lang w:eastAsia="en-AU"/>
              </w:rPr>
              <w:t>29</w:t>
            </w:r>
          </w:p>
        </w:tc>
        <w:tc>
          <w:tcPr>
            <w:tcW w:w="1701" w:type="dxa"/>
            <w:shd w:val="clear" w:color="auto" w:fill="auto"/>
            <w:noWrap/>
            <w:vAlign w:val="bottom"/>
            <w:hideMark/>
          </w:tcPr>
          <w:p w:rsidR="00C5618A" w:rsidRPr="00DA4655" w:rsidRDefault="00C5618A" w:rsidP="00E8224F">
            <w:pPr>
              <w:spacing w:before="120" w:after="120"/>
              <w:rPr>
                <w:rFonts w:eastAsia="Times New Roman" w:cs="Calibri"/>
                <w:sz w:val="20"/>
                <w:szCs w:val="20"/>
                <w:lang w:eastAsia="en-AU"/>
              </w:rPr>
            </w:pPr>
            <w:r w:rsidRPr="00DA4655">
              <w:rPr>
                <w:rFonts w:eastAsia="Times New Roman" w:cs="Calibri"/>
                <w:sz w:val="20"/>
                <w:szCs w:val="20"/>
                <w:lang w:eastAsia="en-AU"/>
              </w:rPr>
              <w:t>12.5%</w:t>
            </w:r>
          </w:p>
        </w:tc>
      </w:tr>
    </w:tbl>
    <w:p w:rsidR="00C13B7C" w:rsidRDefault="00062B20" w:rsidP="00344D09">
      <w:pPr>
        <w:spacing w:before="240"/>
        <w:rPr>
          <w:rStyle w:val="BookTitle"/>
          <w:b w:val="0"/>
        </w:rPr>
      </w:pPr>
      <w:bookmarkStart w:id="57" w:name="_Toc322082104"/>
      <w:bookmarkStart w:id="58" w:name="_Toc322082891"/>
      <w:bookmarkStart w:id="59" w:name="_Toc322080317"/>
      <w:r w:rsidRPr="00344D09">
        <w:rPr>
          <w:rStyle w:val="BookTitle"/>
          <w:b w:val="0"/>
        </w:rPr>
        <w:t xml:space="preserve">Table 2 illustrates that over the period from 2007 to 2012 the system enrolments </w:t>
      </w:r>
      <w:r w:rsidR="008A4085" w:rsidRPr="00344D09">
        <w:rPr>
          <w:rStyle w:val="BookTitle"/>
          <w:b w:val="0"/>
        </w:rPr>
        <w:t>were initially in decline, but then increased every year from 2009, resulting in an increase in enrolments over the period of 993 students (or 2.7%). T</w:t>
      </w:r>
      <w:r w:rsidRPr="00344D09">
        <w:rPr>
          <w:rStyle w:val="BookTitle"/>
          <w:b w:val="0"/>
        </w:rPr>
        <w:t xml:space="preserve">he number of EALD students has increased </w:t>
      </w:r>
      <w:r w:rsidR="008A4085" w:rsidRPr="00344D09">
        <w:rPr>
          <w:rStyle w:val="BookTitle"/>
          <w:b w:val="0"/>
        </w:rPr>
        <w:t xml:space="preserve">every year of the 2007 to 2012 period. The total increase of 1249 students (or 36%) has resulted in a substantial increase in the EALD student numbers as a percentage of system enrolments, now </w:t>
      </w:r>
      <w:r w:rsidRPr="00344D09">
        <w:rPr>
          <w:rStyle w:val="BookTitle"/>
          <w:b w:val="0"/>
        </w:rPr>
        <w:t>12.5% of the total system enrolment.</w:t>
      </w:r>
      <w:bookmarkStart w:id="60" w:name="_Toc321213912"/>
      <w:bookmarkEnd w:id="57"/>
      <w:bookmarkEnd w:id="58"/>
    </w:p>
    <w:p w:rsidR="00C16B47" w:rsidRPr="00344D09" w:rsidRDefault="00C16B47" w:rsidP="00344D09">
      <w:pPr>
        <w:spacing w:before="240"/>
        <w:rPr>
          <w:rStyle w:val="BookTitle"/>
          <w:b w:val="0"/>
        </w:rPr>
      </w:pPr>
    </w:p>
    <w:p w:rsidR="00C5618A" w:rsidRPr="00DA4655" w:rsidRDefault="00E8224F" w:rsidP="00C13B7C">
      <w:pPr>
        <w:pStyle w:val="Heading2"/>
      </w:pPr>
      <w:bookmarkStart w:id="61" w:name="_Toc321224506"/>
      <w:bookmarkStart w:id="62" w:name="_Toc322083113"/>
      <w:r>
        <w:t>3</w:t>
      </w:r>
      <w:r w:rsidR="00FA1949">
        <w:t xml:space="preserve">.4 </w:t>
      </w:r>
      <w:r w:rsidR="00FA1949" w:rsidRPr="00DA4655">
        <w:t>IEC</w:t>
      </w:r>
      <w:r w:rsidR="00C5618A" w:rsidRPr="00DA4655">
        <w:t xml:space="preserve"> E</w:t>
      </w:r>
      <w:bookmarkEnd w:id="60"/>
      <w:bookmarkEnd w:id="61"/>
      <w:r w:rsidR="006F711E">
        <w:t>nrolments</w:t>
      </w:r>
      <w:bookmarkEnd w:id="59"/>
      <w:bookmarkEnd w:id="62"/>
    </w:p>
    <w:p w:rsidR="00177E71" w:rsidRDefault="002A2B6A" w:rsidP="00177E71">
      <w:pPr>
        <w:spacing w:before="120" w:after="120"/>
        <w:rPr>
          <w:rStyle w:val="DefaultChar"/>
          <w:rFonts w:ascii="Calibri" w:eastAsia="Calibri" w:hAnsi="Calibri" w:cs="Calibri"/>
          <w:b/>
          <w:i/>
          <w:color w:val="auto"/>
          <w:sz w:val="20"/>
          <w:szCs w:val="20"/>
        </w:rPr>
      </w:pPr>
      <w:r>
        <w:rPr>
          <w:rFonts w:cs="Calibri"/>
        </w:rPr>
        <w:t>As in mainstream schools, s</w:t>
      </w:r>
      <w:r w:rsidR="005228D3">
        <w:rPr>
          <w:rFonts w:cs="Calibri"/>
        </w:rPr>
        <w:t>tudent</w:t>
      </w:r>
      <w:r w:rsidR="00C5618A" w:rsidRPr="00DA4655">
        <w:rPr>
          <w:rFonts w:cs="Calibri"/>
        </w:rPr>
        <w:t xml:space="preserve"> enrol</w:t>
      </w:r>
      <w:r w:rsidR="005228D3">
        <w:rPr>
          <w:rFonts w:cs="Calibri"/>
        </w:rPr>
        <w:t>ment</w:t>
      </w:r>
      <w:r w:rsidR="00C5618A" w:rsidRPr="00DA4655">
        <w:rPr>
          <w:rFonts w:cs="Calibri"/>
        </w:rPr>
        <w:t xml:space="preserve"> in IECs </w:t>
      </w:r>
      <w:r w:rsidR="005228D3">
        <w:rPr>
          <w:rFonts w:cs="Calibri"/>
        </w:rPr>
        <w:t xml:space="preserve">is </w:t>
      </w:r>
      <w:r w:rsidR="00C5618A" w:rsidRPr="00DA4655">
        <w:rPr>
          <w:rFonts w:cs="Calibri"/>
        </w:rPr>
        <w:t>on a continuous basis</w:t>
      </w:r>
      <w:r w:rsidR="00E30639">
        <w:rPr>
          <w:rFonts w:cs="Calibri"/>
        </w:rPr>
        <w:t>.</w:t>
      </w:r>
      <w:r w:rsidR="00E30639" w:rsidRPr="00E30639">
        <w:t xml:space="preserve"> </w:t>
      </w:r>
      <w:r w:rsidR="00E30639">
        <w:t xml:space="preserve">The same student can be reflected in two separate years depending on </w:t>
      </w:r>
      <w:r w:rsidR="00E8224F">
        <w:t xml:space="preserve">the </w:t>
      </w:r>
      <w:r w:rsidR="00E30639">
        <w:t>date of enrolment in the IEC.</w:t>
      </w:r>
      <w:r w:rsidR="00E30639">
        <w:rPr>
          <w:rFonts w:cs="Calibri"/>
        </w:rPr>
        <w:t xml:space="preserve"> </w:t>
      </w:r>
      <w:r w:rsidR="00FC5AC5">
        <w:rPr>
          <w:rFonts w:cs="Calibri"/>
        </w:rPr>
        <w:t xml:space="preserve">Most primary students remain in the IEC for </w:t>
      </w:r>
      <w:r w:rsidR="00134E07">
        <w:rPr>
          <w:rFonts w:cs="Calibri"/>
        </w:rPr>
        <w:t>two</w:t>
      </w:r>
      <w:r w:rsidR="00FC5AC5">
        <w:rPr>
          <w:rFonts w:cs="Calibri"/>
        </w:rPr>
        <w:t xml:space="preserve"> terms</w:t>
      </w:r>
      <w:r w:rsidR="00134E07">
        <w:rPr>
          <w:rFonts w:cs="Calibri"/>
        </w:rPr>
        <w:t>,</w:t>
      </w:r>
      <w:r w:rsidR="00FC5AC5">
        <w:rPr>
          <w:rFonts w:cs="Calibri"/>
        </w:rPr>
        <w:t xml:space="preserve"> with the option of an additional term if required. Secondary students remain in the IEC for </w:t>
      </w:r>
      <w:r w:rsidR="00134E07">
        <w:t>one to three</w:t>
      </w:r>
      <w:r w:rsidR="00FC5AC5">
        <w:t xml:space="preserve"> terms depending on need.</w:t>
      </w:r>
      <w:r w:rsidR="00E30639">
        <w:t xml:space="preserve"> </w:t>
      </w:r>
    </w:p>
    <w:p w:rsidR="00C5618A" w:rsidRDefault="00492199" w:rsidP="00177E71">
      <w:pPr>
        <w:spacing w:before="120" w:after="120"/>
        <w:rPr>
          <w:rStyle w:val="DefaultChar"/>
          <w:rFonts w:ascii="Calibri" w:eastAsia="Calibri" w:hAnsi="Calibri" w:cs="Calibri"/>
          <w:b/>
          <w:i/>
          <w:color w:val="auto"/>
          <w:sz w:val="20"/>
          <w:szCs w:val="20"/>
        </w:rPr>
      </w:pPr>
      <w:r>
        <w:rPr>
          <w:rStyle w:val="DefaultChar"/>
          <w:rFonts w:ascii="Calibri" w:eastAsia="Calibri" w:hAnsi="Calibri" w:cs="Calibri"/>
          <w:b/>
          <w:i/>
          <w:color w:val="auto"/>
          <w:sz w:val="20"/>
          <w:szCs w:val="20"/>
        </w:rPr>
        <w:t>Table 3</w:t>
      </w:r>
      <w:r w:rsidR="00C5618A" w:rsidRPr="00492199">
        <w:rPr>
          <w:rStyle w:val="DefaultChar"/>
          <w:rFonts w:ascii="Calibri" w:eastAsia="Calibri" w:hAnsi="Calibri" w:cs="Calibri"/>
          <w:b/>
          <w:i/>
          <w:color w:val="auto"/>
          <w:sz w:val="20"/>
          <w:szCs w:val="20"/>
        </w:rPr>
        <w:t xml:space="preserve"> – IEC Enrolments</w:t>
      </w:r>
      <w:r w:rsidR="00474E51" w:rsidRPr="00492199">
        <w:rPr>
          <w:rStyle w:val="DefaultChar"/>
          <w:rFonts w:ascii="Calibri" w:eastAsia="Calibri" w:hAnsi="Calibri" w:cs="Calibri"/>
          <w:b/>
          <w:i/>
          <w:color w:val="auto"/>
          <w:sz w:val="20"/>
          <w:szCs w:val="20"/>
        </w:rPr>
        <w:t xml:space="preserve"> </w:t>
      </w:r>
      <w:r w:rsidR="002E537F" w:rsidRPr="00492199">
        <w:rPr>
          <w:rStyle w:val="DefaultChar"/>
          <w:rFonts w:ascii="Calibri" w:eastAsia="Calibri" w:hAnsi="Calibri" w:cs="Calibri"/>
          <w:b/>
          <w:i/>
          <w:color w:val="auto"/>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8"/>
        <w:gridCol w:w="1174"/>
        <w:gridCol w:w="1174"/>
        <w:gridCol w:w="1174"/>
        <w:gridCol w:w="1174"/>
        <w:gridCol w:w="1174"/>
        <w:gridCol w:w="1175"/>
      </w:tblGrid>
      <w:tr w:rsidR="00040771" w:rsidRPr="000D5DAC" w:rsidTr="000D5DAC">
        <w:tc>
          <w:tcPr>
            <w:tcW w:w="1828" w:type="dxa"/>
            <w:vAlign w:val="center"/>
          </w:tcPr>
          <w:p w:rsidR="00040771" w:rsidRPr="000D5DAC" w:rsidRDefault="00040771" w:rsidP="000D5DAC">
            <w:pPr>
              <w:spacing w:before="120" w:after="120"/>
              <w:rPr>
                <w:rFonts w:eastAsia="Times New Roman" w:cs="Calibri"/>
                <w:b/>
                <w:sz w:val="20"/>
                <w:szCs w:val="20"/>
                <w:lang w:eastAsia="en-AU"/>
              </w:rPr>
            </w:pPr>
            <w:r w:rsidRPr="000D5DAC">
              <w:rPr>
                <w:rFonts w:eastAsia="Times New Roman" w:cs="Calibri"/>
                <w:b/>
                <w:sz w:val="20"/>
                <w:szCs w:val="20"/>
                <w:lang w:eastAsia="en-AU"/>
              </w:rPr>
              <w:t>IEC enrolments</w:t>
            </w:r>
          </w:p>
        </w:tc>
        <w:tc>
          <w:tcPr>
            <w:tcW w:w="1174" w:type="dxa"/>
            <w:vAlign w:val="center"/>
          </w:tcPr>
          <w:p w:rsidR="00040771" w:rsidRPr="000D5DAC" w:rsidRDefault="00040771" w:rsidP="000D5DAC">
            <w:pPr>
              <w:spacing w:before="120" w:after="120"/>
              <w:rPr>
                <w:rFonts w:eastAsia="Times New Roman" w:cs="Calibri"/>
                <w:b/>
                <w:sz w:val="20"/>
                <w:szCs w:val="20"/>
                <w:lang w:eastAsia="en-AU"/>
              </w:rPr>
            </w:pPr>
            <w:r w:rsidRPr="000D5DAC">
              <w:rPr>
                <w:rFonts w:eastAsia="Times New Roman" w:cs="Calibri"/>
                <w:b/>
                <w:sz w:val="20"/>
                <w:szCs w:val="20"/>
                <w:lang w:eastAsia="en-AU"/>
              </w:rPr>
              <w:t>2007*</w:t>
            </w:r>
          </w:p>
        </w:tc>
        <w:tc>
          <w:tcPr>
            <w:tcW w:w="1174" w:type="dxa"/>
            <w:vAlign w:val="center"/>
          </w:tcPr>
          <w:p w:rsidR="00040771" w:rsidRPr="000D5DAC" w:rsidRDefault="00040771" w:rsidP="000D5DAC">
            <w:pPr>
              <w:spacing w:before="120" w:after="120"/>
              <w:rPr>
                <w:rFonts w:eastAsia="Times New Roman" w:cs="Calibri"/>
                <w:b/>
                <w:sz w:val="20"/>
                <w:szCs w:val="20"/>
                <w:lang w:eastAsia="en-AU"/>
              </w:rPr>
            </w:pPr>
            <w:r w:rsidRPr="000D5DAC">
              <w:rPr>
                <w:rFonts w:eastAsia="Times New Roman" w:cs="Calibri"/>
                <w:b/>
                <w:sz w:val="20"/>
                <w:szCs w:val="20"/>
                <w:lang w:eastAsia="en-AU"/>
              </w:rPr>
              <w:t>2008*</w:t>
            </w:r>
          </w:p>
        </w:tc>
        <w:tc>
          <w:tcPr>
            <w:tcW w:w="1174" w:type="dxa"/>
            <w:vAlign w:val="center"/>
          </w:tcPr>
          <w:p w:rsidR="00040771" w:rsidRPr="000D5DAC" w:rsidRDefault="00040771" w:rsidP="000D5DAC">
            <w:pPr>
              <w:spacing w:before="120" w:after="120"/>
              <w:rPr>
                <w:rFonts w:eastAsia="Times New Roman" w:cs="Calibri"/>
                <w:b/>
                <w:sz w:val="20"/>
                <w:szCs w:val="20"/>
                <w:lang w:eastAsia="en-AU"/>
              </w:rPr>
            </w:pPr>
            <w:r w:rsidRPr="000D5DAC">
              <w:rPr>
                <w:rFonts w:eastAsia="Times New Roman" w:cs="Calibri"/>
                <w:b/>
                <w:sz w:val="20"/>
                <w:szCs w:val="20"/>
                <w:lang w:eastAsia="en-AU"/>
              </w:rPr>
              <w:t>2009</w:t>
            </w:r>
          </w:p>
        </w:tc>
        <w:tc>
          <w:tcPr>
            <w:tcW w:w="1174" w:type="dxa"/>
            <w:vAlign w:val="center"/>
          </w:tcPr>
          <w:p w:rsidR="00040771" w:rsidRPr="000D5DAC" w:rsidRDefault="00040771" w:rsidP="000D5DAC">
            <w:pPr>
              <w:spacing w:before="120" w:after="120"/>
              <w:rPr>
                <w:rFonts w:eastAsia="Times New Roman" w:cs="Calibri"/>
                <w:b/>
                <w:sz w:val="20"/>
                <w:szCs w:val="20"/>
                <w:lang w:eastAsia="en-AU"/>
              </w:rPr>
            </w:pPr>
            <w:r w:rsidRPr="000D5DAC">
              <w:rPr>
                <w:rFonts w:eastAsia="Times New Roman" w:cs="Calibri"/>
                <w:b/>
                <w:sz w:val="20"/>
                <w:szCs w:val="20"/>
                <w:lang w:eastAsia="en-AU"/>
              </w:rPr>
              <w:t>2010</w:t>
            </w:r>
          </w:p>
        </w:tc>
        <w:tc>
          <w:tcPr>
            <w:tcW w:w="1174" w:type="dxa"/>
            <w:vAlign w:val="center"/>
          </w:tcPr>
          <w:p w:rsidR="00040771" w:rsidRPr="000D5DAC" w:rsidRDefault="00040771" w:rsidP="000D5DAC">
            <w:pPr>
              <w:spacing w:before="120" w:after="120"/>
              <w:rPr>
                <w:rFonts w:eastAsia="Times New Roman" w:cs="Calibri"/>
                <w:b/>
                <w:sz w:val="20"/>
                <w:szCs w:val="20"/>
                <w:lang w:eastAsia="en-AU"/>
              </w:rPr>
            </w:pPr>
            <w:r w:rsidRPr="000D5DAC">
              <w:rPr>
                <w:rFonts w:eastAsia="Times New Roman" w:cs="Calibri"/>
                <w:b/>
                <w:sz w:val="20"/>
                <w:szCs w:val="20"/>
                <w:lang w:eastAsia="en-AU"/>
              </w:rPr>
              <w:t>2011</w:t>
            </w:r>
          </w:p>
        </w:tc>
        <w:tc>
          <w:tcPr>
            <w:tcW w:w="1175" w:type="dxa"/>
          </w:tcPr>
          <w:p w:rsidR="00040771" w:rsidRPr="000D5DAC" w:rsidRDefault="00040771" w:rsidP="000D5DAC">
            <w:pPr>
              <w:spacing w:before="120" w:after="120"/>
              <w:rPr>
                <w:rFonts w:eastAsia="Times New Roman" w:cs="Calibri"/>
                <w:b/>
                <w:sz w:val="20"/>
                <w:szCs w:val="20"/>
                <w:lang w:eastAsia="en-AU"/>
              </w:rPr>
            </w:pPr>
            <w:r w:rsidRPr="000D5DAC">
              <w:rPr>
                <w:rFonts w:eastAsia="Times New Roman" w:cs="Calibri"/>
                <w:b/>
                <w:sz w:val="20"/>
                <w:szCs w:val="20"/>
                <w:lang w:eastAsia="en-AU"/>
              </w:rPr>
              <w:t>2012**</w:t>
            </w:r>
          </w:p>
        </w:tc>
      </w:tr>
      <w:tr w:rsidR="00040771" w:rsidRPr="000D5DAC" w:rsidTr="000D5DAC">
        <w:tc>
          <w:tcPr>
            <w:tcW w:w="1828"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Primary</w:t>
            </w:r>
          </w:p>
        </w:tc>
        <w:tc>
          <w:tcPr>
            <w:tcW w:w="1174"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268</w:t>
            </w:r>
          </w:p>
        </w:tc>
        <w:tc>
          <w:tcPr>
            <w:tcW w:w="1174"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261</w:t>
            </w:r>
          </w:p>
        </w:tc>
        <w:tc>
          <w:tcPr>
            <w:tcW w:w="1174"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448</w:t>
            </w:r>
          </w:p>
        </w:tc>
        <w:tc>
          <w:tcPr>
            <w:tcW w:w="1174"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349</w:t>
            </w:r>
          </w:p>
        </w:tc>
        <w:tc>
          <w:tcPr>
            <w:tcW w:w="1174"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325</w:t>
            </w:r>
          </w:p>
        </w:tc>
        <w:tc>
          <w:tcPr>
            <w:tcW w:w="1175" w:type="dxa"/>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191</w:t>
            </w:r>
          </w:p>
        </w:tc>
      </w:tr>
      <w:tr w:rsidR="00040771" w:rsidRPr="000D5DAC" w:rsidTr="000D5DAC">
        <w:tc>
          <w:tcPr>
            <w:tcW w:w="1828"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Secondary</w:t>
            </w:r>
          </w:p>
        </w:tc>
        <w:tc>
          <w:tcPr>
            <w:tcW w:w="1174"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130</w:t>
            </w:r>
          </w:p>
        </w:tc>
        <w:tc>
          <w:tcPr>
            <w:tcW w:w="1174"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155</w:t>
            </w:r>
          </w:p>
        </w:tc>
        <w:tc>
          <w:tcPr>
            <w:tcW w:w="1174"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187</w:t>
            </w:r>
          </w:p>
        </w:tc>
        <w:tc>
          <w:tcPr>
            <w:tcW w:w="1174"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175</w:t>
            </w:r>
          </w:p>
        </w:tc>
        <w:tc>
          <w:tcPr>
            <w:tcW w:w="1174"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127</w:t>
            </w:r>
          </w:p>
        </w:tc>
        <w:tc>
          <w:tcPr>
            <w:tcW w:w="1175" w:type="dxa"/>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67</w:t>
            </w:r>
          </w:p>
        </w:tc>
      </w:tr>
      <w:tr w:rsidR="00040771" w:rsidRPr="000D5DAC" w:rsidTr="000D5DAC">
        <w:tc>
          <w:tcPr>
            <w:tcW w:w="1828"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Total</w:t>
            </w:r>
          </w:p>
        </w:tc>
        <w:tc>
          <w:tcPr>
            <w:tcW w:w="1174"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398</w:t>
            </w:r>
          </w:p>
        </w:tc>
        <w:tc>
          <w:tcPr>
            <w:tcW w:w="1174"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416</w:t>
            </w:r>
          </w:p>
        </w:tc>
        <w:tc>
          <w:tcPr>
            <w:tcW w:w="1174"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635</w:t>
            </w:r>
          </w:p>
        </w:tc>
        <w:tc>
          <w:tcPr>
            <w:tcW w:w="1174"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524</w:t>
            </w:r>
          </w:p>
        </w:tc>
        <w:tc>
          <w:tcPr>
            <w:tcW w:w="1174" w:type="dxa"/>
            <w:vAlign w:val="center"/>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452</w:t>
            </w:r>
          </w:p>
        </w:tc>
        <w:tc>
          <w:tcPr>
            <w:tcW w:w="1175" w:type="dxa"/>
          </w:tcPr>
          <w:p w:rsidR="00040771" w:rsidRPr="000D5DAC" w:rsidRDefault="00040771" w:rsidP="000D5DAC">
            <w:pPr>
              <w:spacing w:before="120" w:after="120"/>
              <w:rPr>
                <w:rFonts w:eastAsia="Times New Roman" w:cs="Calibri"/>
                <w:sz w:val="20"/>
                <w:szCs w:val="20"/>
                <w:lang w:eastAsia="en-AU"/>
              </w:rPr>
            </w:pPr>
            <w:r w:rsidRPr="000D5DAC">
              <w:rPr>
                <w:rFonts w:eastAsia="Times New Roman" w:cs="Calibri"/>
                <w:sz w:val="20"/>
                <w:szCs w:val="20"/>
                <w:lang w:eastAsia="en-AU"/>
              </w:rPr>
              <w:t>258</w:t>
            </w:r>
          </w:p>
        </w:tc>
      </w:tr>
    </w:tbl>
    <w:p w:rsidR="001D1D15" w:rsidRPr="001D1D15" w:rsidRDefault="001D1D15" w:rsidP="00040771">
      <w:pPr>
        <w:spacing w:before="120" w:after="120"/>
        <w:rPr>
          <w:i/>
          <w:sz w:val="18"/>
          <w:szCs w:val="18"/>
        </w:rPr>
      </w:pPr>
      <w:r w:rsidRPr="001D1D15">
        <w:rPr>
          <w:i/>
          <w:sz w:val="20"/>
        </w:rPr>
        <w:t>*</w:t>
      </w:r>
      <w:r w:rsidRPr="001D1D15">
        <w:rPr>
          <w:i/>
          <w:sz w:val="18"/>
          <w:szCs w:val="18"/>
        </w:rPr>
        <w:t xml:space="preserve">Student data for 2007-08 includes only those new students enrolled in that year and does not include continuing students from the previous year.  The data 2009-2011 includes both categories and more accurately represents total student enrolments.  </w:t>
      </w:r>
    </w:p>
    <w:p w:rsidR="001D1D15" w:rsidRPr="001D1D15" w:rsidRDefault="001D1D15" w:rsidP="001D1D15">
      <w:pPr>
        <w:spacing w:before="120" w:after="120"/>
        <w:ind w:firstLine="2"/>
        <w:rPr>
          <w:i/>
          <w:sz w:val="18"/>
          <w:szCs w:val="18"/>
        </w:rPr>
      </w:pPr>
      <w:r w:rsidRPr="001D1D15">
        <w:rPr>
          <w:i/>
          <w:sz w:val="18"/>
          <w:szCs w:val="18"/>
        </w:rPr>
        <w:t>**The 2012 data shows just those students as of February Census and is not an annual figure.</w:t>
      </w:r>
    </w:p>
    <w:p w:rsidR="00387321" w:rsidRPr="00D964F0" w:rsidRDefault="00F03F83" w:rsidP="00C13B7C">
      <w:pPr>
        <w:pStyle w:val="Heading2"/>
      </w:pPr>
      <w:bookmarkStart w:id="63" w:name="_Toc321213913"/>
      <w:bookmarkStart w:id="64" w:name="_Toc321224507"/>
      <w:bookmarkStart w:id="65" w:name="_Toc322080318"/>
      <w:bookmarkStart w:id="66" w:name="_Toc322083114"/>
      <w:r>
        <w:br w:type="page"/>
      </w:r>
      <w:r w:rsidR="00E8224F">
        <w:t>3</w:t>
      </w:r>
      <w:r w:rsidR="005E5DB6" w:rsidRPr="00D964F0">
        <w:t xml:space="preserve">.5 </w:t>
      </w:r>
      <w:bookmarkEnd w:id="63"/>
      <w:bookmarkEnd w:id="64"/>
      <w:bookmarkEnd w:id="65"/>
      <w:r w:rsidR="00CF4607">
        <w:t>Stakeholder Consultation</w:t>
      </w:r>
      <w:bookmarkEnd w:id="66"/>
      <w:r w:rsidR="00601E34" w:rsidRPr="00D964F0">
        <w:t xml:space="preserve"> </w:t>
      </w:r>
    </w:p>
    <w:p w:rsidR="00601E34" w:rsidRPr="00DA4655" w:rsidRDefault="00601E34" w:rsidP="00504B61">
      <w:pPr>
        <w:spacing w:before="120" w:after="120"/>
      </w:pPr>
      <w:r>
        <w:t xml:space="preserve">Stakeholders </w:t>
      </w:r>
      <w:r w:rsidRPr="00DA4655">
        <w:t xml:space="preserve">identified </w:t>
      </w:r>
      <w:r w:rsidR="008A4085">
        <w:t>a number of</w:t>
      </w:r>
      <w:r w:rsidR="008A4085" w:rsidRPr="00DA4655">
        <w:t xml:space="preserve"> </w:t>
      </w:r>
      <w:r w:rsidRPr="00DA4655">
        <w:t xml:space="preserve">benefits/strengths of the current </w:t>
      </w:r>
      <w:r w:rsidR="00077AEA">
        <w:t>process for rating</w:t>
      </w:r>
      <w:r w:rsidR="00134E07">
        <w:t xml:space="preserve"> a student’s language proficiency, </w:t>
      </w:r>
      <w:r w:rsidRPr="00DA4655">
        <w:t>including:</w:t>
      </w:r>
    </w:p>
    <w:p w:rsidR="00601E34" w:rsidRPr="00DA4655" w:rsidRDefault="00601E34" w:rsidP="008F35EE">
      <w:pPr>
        <w:numPr>
          <w:ilvl w:val="0"/>
          <w:numId w:val="7"/>
        </w:numPr>
        <w:spacing w:before="120" w:after="120"/>
      </w:pPr>
      <w:r w:rsidRPr="00DA4655">
        <w:t>the LPR process helps EALD teachers identify EALD student needs and is a good base assessment of language skills</w:t>
      </w:r>
    </w:p>
    <w:p w:rsidR="00601E34" w:rsidRPr="00DA4655" w:rsidRDefault="00601E34" w:rsidP="008F35EE">
      <w:pPr>
        <w:numPr>
          <w:ilvl w:val="0"/>
          <w:numId w:val="7"/>
        </w:numPr>
        <w:spacing w:before="120" w:after="120"/>
      </w:pPr>
      <w:r w:rsidRPr="00DA4655">
        <w:t xml:space="preserve">the process is a system wide and moderated process </w:t>
      </w:r>
    </w:p>
    <w:p w:rsidR="00601E34" w:rsidRPr="00DA4655" w:rsidRDefault="00601E34" w:rsidP="008F35EE">
      <w:pPr>
        <w:numPr>
          <w:ilvl w:val="0"/>
          <w:numId w:val="7"/>
        </w:numPr>
        <w:spacing w:before="120" w:after="120"/>
      </w:pPr>
      <w:r w:rsidRPr="00DA4655">
        <w:t xml:space="preserve">the LPR process encourages good communication between EALD and mainstream teachers </w:t>
      </w:r>
    </w:p>
    <w:p w:rsidR="00601E34" w:rsidRPr="00DA4655" w:rsidRDefault="00762C36" w:rsidP="008F35EE">
      <w:pPr>
        <w:numPr>
          <w:ilvl w:val="0"/>
          <w:numId w:val="7"/>
        </w:numPr>
        <w:spacing w:before="120" w:after="120"/>
      </w:pPr>
      <w:r>
        <w:t>LPR</w:t>
      </w:r>
      <w:r w:rsidR="00601E34" w:rsidRPr="00DA4655">
        <w:t xml:space="preserve"> make mainstream teachers more aware of EALD student strengths and weaknesses</w:t>
      </w:r>
    </w:p>
    <w:p w:rsidR="00601E34" w:rsidRDefault="00601E34" w:rsidP="008F35EE">
      <w:pPr>
        <w:numPr>
          <w:ilvl w:val="0"/>
          <w:numId w:val="7"/>
        </w:numPr>
        <w:spacing w:before="120" w:after="120"/>
      </w:pPr>
      <w:proofErr w:type="gramStart"/>
      <w:r w:rsidRPr="00DA4655">
        <w:t>the</w:t>
      </w:r>
      <w:proofErr w:type="gramEnd"/>
      <w:r w:rsidRPr="00DA4655">
        <w:t xml:space="preserve"> LPR process is generally well understood by </w:t>
      </w:r>
      <w:r w:rsidR="009A4A95" w:rsidRPr="00DA4655">
        <w:t>EALD teachers</w:t>
      </w:r>
      <w:r w:rsidRPr="00DA4655">
        <w:t>.</w:t>
      </w:r>
      <w:r w:rsidR="001C4BB1">
        <w:br/>
      </w:r>
    </w:p>
    <w:p w:rsidR="00D60D13" w:rsidRDefault="00CD6684" w:rsidP="00504B61">
      <w:pPr>
        <w:spacing w:before="120" w:after="120"/>
      </w:pPr>
      <w:r>
        <w:t xml:space="preserve">Stakeholders </w:t>
      </w:r>
      <w:r w:rsidRPr="00DA4655">
        <w:t xml:space="preserve">highlighted the </w:t>
      </w:r>
      <w:r w:rsidR="00E8224F">
        <w:t>level of</w:t>
      </w:r>
      <w:r w:rsidRPr="00DA4655">
        <w:t xml:space="preserve"> </w:t>
      </w:r>
      <w:r w:rsidR="001C4BB1">
        <w:t>funding</w:t>
      </w:r>
      <w:r w:rsidRPr="00DA4655">
        <w:t xml:space="preserve"> cut-offs</w:t>
      </w:r>
      <w:r w:rsidR="00B15CC7">
        <w:t>, which</w:t>
      </w:r>
      <w:r w:rsidRPr="00DA4655">
        <w:t xml:space="preserve"> have </w:t>
      </w:r>
      <w:r w:rsidR="00B15CC7">
        <w:t xml:space="preserve">been </w:t>
      </w:r>
      <w:r w:rsidRPr="00DA4655">
        <w:t>applied in recent years</w:t>
      </w:r>
      <w:r w:rsidR="00B15CC7">
        <w:t>,</w:t>
      </w:r>
      <w:r>
        <w:t xml:space="preserve"> as a concern</w:t>
      </w:r>
      <w:r w:rsidRPr="00DA4655">
        <w:t xml:space="preserve">.  </w:t>
      </w:r>
    </w:p>
    <w:p w:rsidR="00CD6684" w:rsidRPr="00DA4655" w:rsidRDefault="00CD6684" w:rsidP="00504B61">
      <w:pPr>
        <w:spacing w:before="120" w:after="120"/>
      </w:pPr>
      <w:r w:rsidRPr="00DA4655">
        <w:t>With regard to the LPR model</w:t>
      </w:r>
      <w:r w:rsidR="001C4BB1">
        <w:t>,</w:t>
      </w:r>
      <w:r w:rsidRPr="00DA4655">
        <w:t xml:space="preserve"> a range of </w:t>
      </w:r>
      <w:r>
        <w:t>issues were identified</w:t>
      </w:r>
      <w:r w:rsidR="008A4085">
        <w:t xml:space="preserve"> including</w:t>
      </w:r>
      <w:r w:rsidRPr="00DA4655">
        <w:t>:</w:t>
      </w:r>
    </w:p>
    <w:p w:rsidR="00CD6684" w:rsidRPr="00DA4655" w:rsidRDefault="00CD6684" w:rsidP="008F35EE">
      <w:pPr>
        <w:numPr>
          <w:ilvl w:val="0"/>
          <w:numId w:val="8"/>
        </w:numPr>
        <w:spacing w:before="120" w:after="120"/>
      </w:pPr>
      <w:r w:rsidRPr="00DA4655">
        <w:t xml:space="preserve">the need to update the moderation tests/tasks </w:t>
      </w:r>
    </w:p>
    <w:p w:rsidR="00CD6684" w:rsidRDefault="00CD6684" w:rsidP="008F35EE">
      <w:pPr>
        <w:numPr>
          <w:ilvl w:val="0"/>
          <w:numId w:val="8"/>
        </w:numPr>
        <w:spacing w:before="120" w:after="120"/>
      </w:pPr>
      <w:r w:rsidRPr="00DA4655">
        <w:t>the tendency for mainstream teacher</w:t>
      </w:r>
      <w:r w:rsidR="00E8224F">
        <w:t>s</w:t>
      </w:r>
      <w:r w:rsidRPr="00DA4655">
        <w:t xml:space="preserve"> to rate EALD students too highly and a lack of consistency in </w:t>
      </w:r>
      <w:r w:rsidR="006F48FA">
        <w:t>this element of the LPR process</w:t>
      </w:r>
    </w:p>
    <w:p w:rsidR="006F48FA" w:rsidRPr="00DA4655" w:rsidRDefault="006F48FA" w:rsidP="008F35EE">
      <w:pPr>
        <w:numPr>
          <w:ilvl w:val="0"/>
          <w:numId w:val="8"/>
        </w:numPr>
        <w:spacing w:before="120" w:after="120"/>
      </w:pPr>
      <w:proofErr w:type="gramStart"/>
      <w:r>
        <w:t>the</w:t>
      </w:r>
      <w:proofErr w:type="gramEnd"/>
      <w:r>
        <w:t xml:space="preserve"> workload associated with the LPR process. </w:t>
      </w:r>
    </w:p>
    <w:p w:rsidR="0022523C" w:rsidRPr="00D964F0" w:rsidRDefault="0022523C" w:rsidP="00D964F0"/>
    <w:p w:rsidR="00387321" w:rsidRPr="00D964F0" w:rsidRDefault="00E8224F" w:rsidP="00C13B7C">
      <w:pPr>
        <w:pStyle w:val="Heading2"/>
      </w:pPr>
      <w:bookmarkStart w:id="67" w:name="_Toc322080319"/>
      <w:bookmarkStart w:id="68" w:name="_Toc322083115"/>
      <w:r>
        <w:t>3</w:t>
      </w:r>
      <w:r w:rsidR="005E5DB6" w:rsidRPr="00D964F0">
        <w:t xml:space="preserve">.6 </w:t>
      </w:r>
      <w:bookmarkEnd w:id="67"/>
      <w:r w:rsidR="00CF4607">
        <w:t>Findings</w:t>
      </w:r>
      <w:bookmarkEnd w:id="68"/>
    </w:p>
    <w:p w:rsidR="00387321" w:rsidRPr="00DA4655" w:rsidRDefault="003C5433" w:rsidP="00504B61">
      <w:pPr>
        <w:spacing w:before="120" w:after="120"/>
      </w:pPr>
      <w:r>
        <w:t xml:space="preserve">The Review identified </w:t>
      </w:r>
      <w:r w:rsidR="00387321" w:rsidRPr="00DA4655">
        <w:t>the following findings:</w:t>
      </w:r>
    </w:p>
    <w:p w:rsidR="00D27D59" w:rsidRPr="00DA4655" w:rsidRDefault="0041607D" w:rsidP="008F35EE">
      <w:pPr>
        <w:numPr>
          <w:ilvl w:val="0"/>
          <w:numId w:val="30"/>
        </w:numPr>
        <w:spacing w:before="120" w:after="120"/>
      </w:pPr>
      <w:r>
        <w:t>While system enrolments have been relatively stable over the last five years, the number of EALD students, as a proportion of total enrolments, has increased.</w:t>
      </w:r>
    </w:p>
    <w:p w:rsidR="00D27D59" w:rsidRDefault="00223990" w:rsidP="008F35EE">
      <w:pPr>
        <w:numPr>
          <w:ilvl w:val="0"/>
          <w:numId w:val="30"/>
        </w:numPr>
        <w:spacing w:before="120" w:after="120"/>
      </w:pPr>
      <w:r>
        <w:t xml:space="preserve">The proportion of EALD students with higher language needs is now </w:t>
      </w:r>
      <w:r w:rsidR="00177E71">
        <w:t>approaching 40</w:t>
      </w:r>
      <w:r>
        <w:t>% of the total EALD population</w:t>
      </w:r>
      <w:r w:rsidR="00D27D59">
        <w:t xml:space="preserve">. </w:t>
      </w:r>
    </w:p>
    <w:p w:rsidR="00D27D59" w:rsidRDefault="00D27D59" w:rsidP="008F35EE">
      <w:pPr>
        <w:numPr>
          <w:ilvl w:val="0"/>
          <w:numId w:val="30"/>
        </w:numPr>
        <w:spacing w:before="120" w:after="120"/>
      </w:pPr>
      <w:r>
        <w:t>The current LPR process</w:t>
      </w:r>
      <w:r w:rsidRPr="00DA4655">
        <w:t xml:space="preserve"> </w:t>
      </w:r>
      <w:r>
        <w:t>is an effective assessment of language proficiency.</w:t>
      </w:r>
    </w:p>
    <w:p w:rsidR="009B7990" w:rsidRDefault="009B7990" w:rsidP="00504B61">
      <w:pPr>
        <w:spacing w:before="120" w:after="120"/>
        <w:ind w:left="567"/>
      </w:pPr>
    </w:p>
    <w:p w:rsidR="006F3E80" w:rsidRPr="00DA4655" w:rsidRDefault="006F3E80" w:rsidP="00504B61">
      <w:pPr>
        <w:spacing w:before="120" w:after="120"/>
        <w:ind w:left="567"/>
      </w:pPr>
    </w:p>
    <w:p w:rsidR="00387321" w:rsidRPr="0075353C" w:rsidRDefault="00D92A50" w:rsidP="00C13B7C">
      <w:pPr>
        <w:pStyle w:val="Heading2"/>
      </w:pPr>
      <w:r w:rsidRPr="00D964F0">
        <w:br w:type="page"/>
      </w:r>
      <w:bookmarkStart w:id="69" w:name="_Toc322083116"/>
      <w:r w:rsidR="00E8224F">
        <w:t>4</w:t>
      </w:r>
      <w:r w:rsidR="00AD2412" w:rsidRPr="0075353C">
        <w:t xml:space="preserve">. </w:t>
      </w:r>
      <w:r w:rsidR="00387321" w:rsidRPr="0075353C">
        <w:t xml:space="preserve">RESOURCING OF EALD STUDENTS IN ACT </w:t>
      </w:r>
      <w:r w:rsidR="00492199">
        <w:t>PUBLIC</w:t>
      </w:r>
      <w:r w:rsidR="00387321" w:rsidRPr="0075353C">
        <w:t xml:space="preserve"> SCHOOLS</w:t>
      </w:r>
      <w:bookmarkEnd w:id="69"/>
    </w:p>
    <w:p w:rsidR="00AE6831" w:rsidRPr="00D964F0" w:rsidRDefault="00E8224F" w:rsidP="00C13B7C">
      <w:pPr>
        <w:pStyle w:val="Heading2"/>
        <w:rPr>
          <w:rStyle w:val="BookTitle"/>
          <w:b/>
        </w:rPr>
      </w:pPr>
      <w:bookmarkStart w:id="70" w:name="_Toc318813922"/>
      <w:bookmarkStart w:id="71" w:name="_Toc318816205"/>
      <w:bookmarkStart w:id="72" w:name="_Toc318816233"/>
      <w:bookmarkStart w:id="73" w:name="_Toc320010930"/>
      <w:bookmarkStart w:id="74" w:name="_Toc321213916"/>
      <w:bookmarkStart w:id="75" w:name="_Toc321224510"/>
      <w:bookmarkStart w:id="76" w:name="_Toc322080321"/>
      <w:bookmarkStart w:id="77" w:name="_Toc322083117"/>
      <w:r>
        <w:rPr>
          <w:rStyle w:val="BookTitle"/>
          <w:b/>
        </w:rPr>
        <w:t>4</w:t>
      </w:r>
      <w:r w:rsidR="005E5DB6" w:rsidRPr="00D964F0">
        <w:rPr>
          <w:rStyle w:val="BookTitle"/>
          <w:b/>
        </w:rPr>
        <w:t>.1</w:t>
      </w:r>
      <w:r w:rsidR="00766795" w:rsidRPr="00D964F0">
        <w:rPr>
          <w:rStyle w:val="BookTitle"/>
          <w:b/>
        </w:rPr>
        <w:t xml:space="preserve"> </w:t>
      </w:r>
      <w:r w:rsidR="00AE6831" w:rsidRPr="00D964F0">
        <w:rPr>
          <w:rStyle w:val="BookTitle"/>
          <w:b/>
        </w:rPr>
        <w:t>F</w:t>
      </w:r>
      <w:bookmarkEnd w:id="70"/>
      <w:bookmarkEnd w:id="71"/>
      <w:bookmarkEnd w:id="72"/>
      <w:bookmarkEnd w:id="73"/>
      <w:bookmarkEnd w:id="74"/>
      <w:bookmarkEnd w:id="75"/>
      <w:r>
        <w:rPr>
          <w:rStyle w:val="BookTitle"/>
          <w:b/>
        </w:rPr>
        <w:t>inances</w:t>
      </w:r>
      <w:bookmarkEnd w:id="76"/>
      <w:bookmarkEnd w:id="77"/>
    </w:p>
    <w:p w:rsidR="005010A3" w:rsidRDefault="005010A3" w:rsidP="00504B61">
      <w:pPr>
        <w:spacing w:before="120" w:after="120"/>
        <w:rPr>
          <w:lang w:eastAsia="en-AU"/>
        </w:rPr>
      </w:pPr>
      <w:r>
        <w:rPr>
          <w:lang w:eastAsia="en-AU"/>
        </w:rPr>
        <w:t>Over the five years from 2007</w:t>
      </w:r>
      <w:r w:rsidR="00AB2EF5">
        <w:rPr>
          <w:lang w:eastAsia="en-AU"/>
        </w:rPr>
        <w:t>-</w:t>
      </w:r>
      <w:r w:rsidR="00AE6831" w:rsidRPr="00DA4655">
        <w:rPr>
          <w:lang w:eastAsia="en-AU"/>
        </w:rPr>
        <w:t>11</w:t>
      </w:r>
      <w:r w:rsidR="00AB2EF5">
        <w:rPr>
          <w:lang w:eastAsia="en-AU"/>
        </w:rPr>
        <w:t>,</w:t>
      </w:r>
      <w:r w:rsidR="00AE6831" w:rsidRPr="00DA4655">
        <w:rPr>
          <w:lang w:eastAsia="en-AU"/>
        </w:rPr>
        <w:t xml:space="preserve"> funding for EALD </w:t>
      </w:r>
      <w:r w:rsidR="00CD5DDB">
        <w:rPr>
          <w:lang w:eastAsia="en-AU"/>
        </w:rPr>
        <w:t>services increased</w:t>
      </w:r>
      <w:r w:rsidR="00AB2EF5">
        <w:rPr>
          <w:lang w:eastAsia="en-AU"/>
        </w:rPr>
        <w:t>. F</w:t>
      </w:r>
      <w:r w:rsidR="00AE6831" w:rsidRPr="00DA4655">
        <w:rPr>
          <w:lang w:eastAsia="en-AU"/>
        </w:rPr>
        <w:t>or the 2012 calendar</w:t>
      </w:r>
      <w:r w:rsidR="00DA4655" w:rsidRPr="00DA4655">
        <w:rPr>
          <w:lang w:eastAsia="en-AU"/>
        </w:rPr>
        <w:t xml:space="preserve"> year</w:t>
      </w:r>
      <w:r w:rsidR="00AB2EF5">
        <w:rPr>
          <w:lang w:eastAsia="en-AU"/>
        </w:rPr>
        <w:t>,</w:t>
      </w:r>
      <w:r w:rsidR="00DA4655" w:rsidRPr="00DA4655">
        <w:rPr>
          <w:lang w:eastAsia="en-AU"/>
        </w:rPr>
        <w:t xml:space="preserve"> funding will exceed $8m</w:t>
      </w:r>
      <w:r w:rsidR="007D47FD">
        <w:rPr>
          <w:lang w:eastAsia="en-AU"/>
        </w:rPr>
        <w:t>.</w:t>
      </w:r>
      <w:r w:rsidR="00F058F5">
        <w:rPr>
          <w:lang w:eastAsia="en-AU"/>
        </w:rPr>
        <w:t xml:space="preserve"> </w:t>
      </w:r>
    </w:p>
    <w:p w:rsidR="00984FAD" w:rsidRDefault="00177E71" w:rsidP="00504B61">
      <w:pPr>
        <w:spacing w:before="120" w:after="120"/>
        <w:rPr>
          <w:lang w:eastAsia="en-AU"/>
        </w:rPr>
      </w:pPr>
      <w:r>
        <w:rPr>
          <w:lang w:eastAsia="en-AU"/>
        </w:rPr>
        <w:t>Following changes to the Australian Government funding arrangements, t</w:t>
      </w:r>
      <w:r w:rsidR="00984FAD">
        <w:rPr>
          <w:lang w:eastAsia="en-AU"/>
        </w:rPr>
        <w:t>he ACT Government provided additional funding through the 2009/10 budget process. The Directorate has also allocated additional funding to increase support for EALD students.</w:t>
      </w:r>
    </w:p>
    <w:p w:rsidR="00812699" w:rsidRDefault="00812699" w:rsidP="00812699">
      <w:pPr>
        <w:spacing w:before="120" w:after="0"/>
        <w:rPr>
          <w:lang w:eastAsia="en-AU"/>
        </w:rPr>
      </w:pPr>
      <w:r>
        <w:rPr>
          <w:b/>
          <w:i/>
          <w:sz w:val="20"/>
          <w:lang w:eastAsia="en-AU"/>
        </w:rPr>
        <w:t>Table 4 - EALD Funding 2007-</w:t>
      </w:r>
      <w:r w:rsidRPr="0076376D">
        <w:rPr>
          <w:b/>
          <w:i/>
          <w:sz w:val="20"/>
          <w:lang w:eastAsia="en-AU"/>
        </w:rPr>
        <w:t>12</w:t>
      </w:r>
    </w:p>
    <w:tbl>
      <w:tblPr>
        <w:tblpPr w:leftFromText="180" w:rightFromText="180" w:vertAnchor="text" w:horzAnchor="margin" w:tblpY="346"/>
        <w:tblW w:w="0" w:type="auto"/>
        <w:tblLayout w:type="fixed"/>
        <w:tblLook w:val="04A0"/>
      </w:tblPr>
      <w:tblGrid>
        <w:gridCol w:w="1304"/>
        <w:gridCol w:w="1304"/>
        <w:gridCol w:w="1412"/>
        <w:gridCol w:w="1701"/>
        <w:gridCol w:w="1701"/>
        <w:gridCol w:w="1843"/>
      </w:tblGrid>
      <w:tr w:rsidR="00177E71" w:rsidRPr="002E2CE4" w:rsidTr="00177E71">
        <w:trPr>
          <w:trHeight w:val="300"/>
        </w:trPr>
        <w:tc>
          <w:tcPr>
            <w:tcW w:w="9039" w:type="dxa"/>
            <w:gridSpan w:val="6"/>
            <w:tcBorders>
              <w:top w:val="single" w:sz="12" w:space="0" w:color="auto"/>
              <w:left w:val="single" w:sz="12" w:space="0" w:color="auto"/>
              <w:bottom w:val="single" w:sz="6" w:space="0" w:color="auto"/>
              <w:right w:val="single" w:sz="12" w:space="0" w:color="auto"/>
            </w:tcBorders>
            <w:shd w:val="clear" w:color="auto" w:fill="auto"/>
            <w:noWrap/>
            <w:vAlign w:val="bottom"/>
            <w:hideMark/>
          </w:tcPr>
          <w:p w:rsidR="00177E71" w:rsidRPr="00177E71" w:rsidRDefault="00177E71" w:rsidP="00FF6495">
            <w:pPr>
              <w:spacing w:after="0" w:line="240" w:lineRule="auto"/>
              <w:jc w:val="center"/>
              <w:rPr>
                <w:rFonts w:eastAsia="Times New Roman" w:cs="Calibri"/>
                <w:b/>
                <w:bCs/>
                <w:color w:val="000000"/>
                <w:sz w:val="20"/>
                <w:szCs w:val="20"/>
                <w:lang w:eastAsia="en-AU"/>
              </w:rPr>
            </w:pPr>
            <w:r w:rsidRPr="002E2CE4">
              <w:rPr>
                <w:rFonts w:eastAsia="Times New Roman" w:cs="Calibri"/>
                <w:b/>
                <w:color w:val="000000"/>
                <w:sz w:val="20"/>
                <w:szCs w:val="20"/>
                <w:lang w:eastAsia="en-AU"/>
              </w:rPr>
              <w:t xml:space="preserve">Expenditure Including </w:t>
            </w:r>
            <w:proofErr w:type="spellStart"/>
            <w:r w:rsidRPr="002E2CE4">
              <w:rPr>
                <w:rFonts w:eastAsia="Times New Roman" w:cs="Calibri"/>
                <w:b/>
                <w:color w:val="000000"/>
                <w:sz w:val="20"/>
                <w:szCs w:val="20"/>
                <w:lang w:eastAsia="en-AU"/>
              </w:rPr>
              <w:t>Oncosts</w:t>
            </w:r>
            <w:proofErr w:type="spellEnd"/>
          </w:p>
        </w:tc>
      </w:tr>
      <w:tr w:rsidR="00FF6495" w:rsidRPr="002E2CE4" w:rsidTr="00FF6495">
        <w:trPr>
          <w:trHeight w:val="300"/>
        </w:trPr>
        <w:tc>
          <w:tcPr>
            <w:tcW w:w="5495" w:type="dxa"/>
            <w:gridSpan w:val="4"/>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FF6495" w:rsidRPr="002E2CE4" w:rsidRDefault="00FF6495" w:rsidP="00522A11">
            <w:pPr>
              <w:spacing w:after="0" w:line="240" w:lineRule="auto"/>
              <w:jc w:val="center"/>
              <w:rPr>
                <w:rFonts w:eastAsia="Times New Roman" w:cs="Calibri"/>
                <w:b/>
                <w:bCs/>
                <w:color w:val="000000"/>
                <w:sz w:val="20"/>
                <w:szCs w:val="20"/>
                <w:lang w:eastAsia="en-AU"/>
              </w:rPr>
            </w:pPr>
            <w:r w:rsidRPr="002E2CE4">
              <w:rPr>
                <w:rFonts w:eastAsia="Times New Roman" w:cs="Calibri"/>
                <w:b/>
                <w:bCs/>
                <w:color w:val="000000"/>
                <w:sz w:val="20"/>
                <w:szCs w:val="20"/>
                <w:lang w:eastAsia="en-AU"/>
              </w:rPr>
              <w:t>Actual result</w:t>
            </w:r>
          </w:p>
        </w:tc>
        <w:tc>
          <w:tcPr>
            <w:tcW w:w="3544" w:type="dxa"/>
            <w:gridSpan w:val="2"/>
            <w:tcBorders>
              <w:top w:val="single" w:sz="12" w:space="0" w:color="auto"/>
              <w:left w:val="single" w:sz="6" w:space="0" w:color="auto"/>
              <w:bottom w:val="single" w:sz="6" w:space="0" w:color="auto"/>
              <w:right w:val="single" w:sz="12" w:space="0" w:color="auto"/>
            </w:tcBorders>
            <w:shd w:val="clear" w:color="auto" w:fill="auto"/>
            <w:noWrap/>
            <w:vAlign w:val="bottom"/>
            <w:hideMark/>
          </w:tcPr>
          <w:p w:rsidR="00FF6495" w:rsidRPr="002E2CE4" w:rsidRDefault="00FF6495" w:rsidP="00522A11">
            <w:pPr>
              <w:spacing w:after="0" w:line="240" w:lineRule="auto"/>
              <w:jc w:val="center"/>
              <w:rPr>
                <w:rFonts w:eastAsia="Times New Roman" w:cs="Calibri"/>
                <w:b/>
                <w:bCs/>
                <w:color w:val="000000"/>
                <w:sz w:val="20"/>
                <w:szCs w:val="20"/>
                <w:lang w:eastAsia="en-AU"/>
              </w:rPr>
            </w:pPr>
            <w:r w:rsidRPr="002E2CE4">
              <w:rPr>
                <w:rFonts w:eastAsia="Times New Roman" w:cs="Calibri"/>
                <w:b/>
                <w:bCs/>
                <w:color w:val="000000"/>
                <w:sz w:val="20"/>
                <w:szCs w:val="20"/>
                <w:lang w:eastAsia="en-AU"/>
              </w:rPr>
              <w:t>Budget</w:t>
            </w:r>
          </w:p>
        </w:tc>
      </w:tr>
      <w:tr w:rsidR="00FF6495" w:rsidRPr="002E2CE4" w:rsidTr="00FF6495">
        <w:trPr>
          <w:trHeight w:val="300"/>
        </w:trPr>
        <w:tc>
          <w:tcPr>
            <w:tcW w:w="1304"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FF6495" w:rsidRPr="002E2CE4" w:rsidRDefault="00FF6495" w:rsidP="00522A11">
            <w:pPr>
              <w:spacing w:after="0" w:line="240" w:lineRule="auto"/>
              <w:jc w:val="center"/>
              <w:rPr>
                <w:rFonts w:eastAsia="Times New Roman" w:cs="Calibri"/>
                <w:b/>
                <w:bCs/>
                <w:color w:val="000000"/>
                <w:sz w:val="20"/>
                <w:szCs w:val="20"/>
                <w:lang w:eastAsia="en-AU"/>
              </w:rPr>
            </w:pPr>
            <w:r w:rsidRPr="002E2CE4">
              <w:rPr>
                <w:rFonts w:eastAsia="Times New Roman" w:cs="Calibri"/>
                <w:b/>
                <w:bCs/>
                <w:color w:val="000000"/>
                <w:sz w:val="20"/>
                <w:szCs w:val="20"/>
                <w:lang w:eastAsia="en-AU"/>
              </w:rPr>
              <w:t>2007 ($M)</w:t>
            </w:r>
          </w:p>
        </w:tc>
        <w:tc>
          <w:tcPr>
            <w:tcW w:w="1304"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FF6495" w:rsidRPr="002E2CE4" w:rsidRDefault="00FF6495" w:rsidP="00522A11">
            <w:pPr>
              <w:spacing w:after="0" w:line="240" w:lineRule="auto"/>
              <w:jc w:val="center"/>
              <w:rPr>
                <w:rFonts w:eastAsia="Times New Roman" w:cs="Calibri"/>
                <w:b/>
                <w:bCs/>
                <w:color w:val="000000"/>
                <w:sz w:val="20"/>
                <w:szCs w:val="20"/>
                <w:lang w:eastAsia="en-AU"/>
              </w:rPr>
            </w:pPr>
            <w:r w:rsidRPr="002E2CE4">
              <w:rPr>
                <w:rFonts w:eastAsia="Times New Roman" w:cs="Calibri"/>
                <w:b/>
                <w:bCs/>
                <w:color w:val="000000"/>
                <w:sz w:val="20"/>
                <w:szCs w:val="20"/>
                <w:lang w:eastAsia="en-AU"/>
              </w:rPr>
              <w:t>2008($M)</w:t>
            </w:r>
          </w:p>
        </w:tc>
        <w:tc>
          <w:tcPr>
            <w:tcW w:w="1304"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FF6495" w:rsidRPr="002E2CE4" w:rsidRDefault="00FF6495" w:rsidP="00522A11">
            <w:pPr>
              <w:spacing w:after="0" w:line="240" w:lineRule="auto"/>
              <w:jc w:val="center"/>
              <w:rPr>
                <w:rFonts w:eastAsia="Times New Roman" w:cs="Calibri"/>
                <w:b/>
                <w:bCs/>
                <w:color w:val="000000"/>
                <w:sz w:val="20"/>
                <w:szCs w:val="20"/>
                <w:lang w:eastAsia="en-AU"/>
              </w:rPr>
            </w:pPr>
            <w:r w:rsidRPr="002E2CE4">
              <w:rPr>
                <w:rFonts w:eastAsia="Times New Roman" w:cs="Calibri"/>
                <w:b/>
                <w:bCs/>
                <w:color w:val="000000"/>
                <w:sz w:val="20"/>
                <w:szCs w:val="20"/>
                <w:lang w:eastAsia="en-AU"/>
              </w:rPr>
              <w:t>2009($M)</w:t>
            </w:r>
          </w:p>
        </w:tc>
        <w:tc>
          <w:tcPr>
            <w:tcW w:w="1304"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FF6495" w:rsidRPr="002E2CE4" w:rsidRDefault="00FF6495" w:rsidP="00522A11">
            <w:pPr>
              <w:spacing w:after="0" w:line="240" w:lineRule="auto"/>
              <w:jc w:val="center"/>
              <w:rPr>
                <w:rFonts w:eastAsia="Times New Roman" w:cs="Calibri"/>
                <w:b/>
                <w:bCs/>
                <w:color w:val="000000"/>
                <w:sz w:val="20"/>
                <w:szCs w:val="20"/>
                <w:lang w:eastAsia="en-AU"/>
              </w:rPr>
            </w:pPr>
            <w:r w:rsidRPr="002E2CE4">
              <w:rPr>
                <w:rFonts w:eastAsia="Times New Roman" w:cs="Calibri"/>
                <w:b/>
                <w:bCs/>
                <w:color w:val="000000"/>
                <w:sz w:val="20"/>
                <w:szCs w:val="20"/>
                <w:lang w:eastAsia="en-AU"/>
              </w:rPr>
              <w:t>2010($M)</w:t>
            </w:r>
          </w:p>
        </w:tc>
        <w:tc>
          <w:tcPr>
            <w:tcW w:w="1304"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FF6495" w:rsidRPr="002E2CE4" w:rsidRDefault="00FF6495" w:rsidP="00522A11">
            <w:pPr>
              <w:spacing w:after="0" w:line="240" w:lineRule="auto"/>
              <w:jc w:val="center"/>
              <w:rPr>
                <w:rFonts w:eastAsia="Times New Roman" w:cs="Calibri"/>
                <w:b/>
                <w:bCs/>
                <w:color w:val="000000"/>
                <w:sz w:val="20"/>
                <w:szCs w:val="20"/>
                <w:lang w:eastAsia="en-AU"/>
              </w:rPr>
            </w:pPr>
            <w:r w:rsidRPr="002E2CE4">
              <w:rPr>
                <w:rFonts w:eastAsia="Times New Roman" w:cs="Calibri"/>
                <w:b/>
                <w:bCs/>
                <w:color w:val="000000"/>
                <w:sz w:val="20"/>
                <w:szCs w:val="20"/>
                <w:lang w:eastAsia="en-AU"/>
              </w:rPr>
              <w:t>2011($M)</w:t>
            </w:r>
          </w:p>
        </w:tc>
        <w:tc>
          <w:tcPr>
            <w:tcW w:w="1304"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rsidR="00FF6495" w:rsidRPr="002E2CE4" w:rsidRDefault="00FF6495" w:rsidP="00522A11">
            <w:pPr>
              <w:spacing w:after="0" w:line="240" w:lineRule="auto"/>
              <w:jc w:val="center"/>
              <w:rPr>
                <w:rFonts w:eastAsia="Times New Roman" w:cs="Calibri"/>
                <w:b/>
                <w:bCs/>
                <w:color w:val="000000"/>
                <w:sz w:val="20"/>
                <w:szCs w:val="20"/>
                <w:lang w:eastAsia="en-AU"/>
              </w:rPr>
            </w:pPr>
            <w:r w:rsidRPr="002E2CE4">
              <w:rPr>
                <w:rFonts w:eastAsia="Times New Roman" w:cs="Calibri"/>
                <w:b/>
                <w:bCs/>
                <w:color w:val="000000"/>
                <w:sz w:val="20"/>
                <w:szCs w:val="20"/>
                <w:lang w:eastAsia="en-AU"/>
              </w:rPr>
              <w:t>2012($M)</w:t>
            </w:r>
          </w:p>
        </w:tc>
      </w:tr>
      <w:tr w:rsidR="00FF6495" w:rsidRPr="00CB5DA3" w:rsidTr="00FF6495">
        <w:trPr>
          <w:trHeight w:val="594"/>
        </w:trPr>
        <w:tc>
          <w:tcPr>
            <w:tcW w:w="1191"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FF6495" w:rsidRPr="002E2CE4" w:rsidRDefault="00FF6495" w:rsidP="00522A11">
            <w:pPr>
              <w:jc w:val="center"/>
              <w:rPr>
                <w:rFonts w:cs="Calibri"/>
                <w:b/>
                <w:bCs/>
                <w:color w:val="000000"/>
                <w:sz w:val="20"/>
                <w:szCs w:val="20"/>
              </w:rPr>
            </w:pPr>
            <w:r w:rsidRPr="002E2CE4">
              <w:rPr>
                <w:rFonts w:cs="Calibri"/>
                <w:b/>
                <w:bCs/>
                <w:color w:val="000000"/>
                <w:sz w:val="20"/>
                <w:szCs w:val="20"/>
              </w:rPr>
              <w:t>$6.86</w:t>
            </w:r>
          </w:p>
        </w:tc>
        <w:tc>
          <w:tcPr>
            <w:tcW w:w="1191"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FF6495" w:rsidRPr="002E2CE4" w:rsidRDefault="00FF6495" w:rsidP="00522A11">
            <w:pPr>
              <w:jc w:val="center"/>
              <w:rPr>
                <w:rFonts w:cs="Calibri"/>
                <w:b/>
                <w:bCs/>
                <w:color w:val="000000"/>
                <w:sz w:val="20"/>
                <w:szCs w:val="20"/>
              </w:rPr>
            </w:pPr>
            <w:r w:rsidRPr="002E2CE4">
              <w:rPr>
                <w:rFonts w:cs="Calibri"/>
                <w:b/>
                <w:bCs/>
                <w:color w:val="000000"/>
                <w:sz w:val="20"/>
                <w:szCs w:val="20"/>
              </w:rPr>
              <w:t>$7.52</w:t>
            </w:r>
          </w:p>
        </w:tc>
        <w:tc>
          <w:tcPr>
            <w:tcW w:w="141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FF6495" w:rsidRPr="002E2CE4" w:rsidRDefault="00FF6495" w:rsidP="00522A11">
            <w:pPr>
              <w:jc w:val="center"/>
              <w:rPr>
                <w:rFonts w:cs="Calibri"/>
                <w:b/>
                <w:bCs/>
                <w:color w:val="000000"/>
                <w:sz w:val="20"/>
                <w:szCs w:val="20"/>
              </w:rPr>
            </w:pPr>
            <w:r w:rsidRPr="002E2CE4">
              <w:rPr>
                <w:rFonts w:cs="Calibri"/>
                <w:b/>
                <w:bCs/>
                <w:color w:val="000000"/>
                <w:sz w:val="20"/>
                <w:szCs w:val="20"/>
              </w:rPr>
              <w:t>$7.55</w:t>
            </w:r>
          </w:p>
        </w:tc>
        <w:tc>
          <w:tcPr>
            <w:tcW w:w="1701"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FF6495" w:rsidRPr="002E2CE4" w:rsidRDefault="00FF6495" w:rsidP="00522A11">
            <w:pPr>
              <w:jc w:val="center"/>
              <w:rPr>
                <w:rFonts w:cs="Calibri"/>
                <w:b/>
                <w:bCs/>
                <w:color w:val="000000"/>
                <w:sz w:val="20"/>
                <w:szCs w:val="20"/>
              </w:rPr>
            </w:pPr>
            <w:r w:rsidRPr="002E2CE4">
              <w:rPr>
                <w:rFonts w:cs="Calibri"/>
                <w:b/>
                <w:bCs/>
                <w:color w:val="000000"/>
                <w:sz w:val="20"/>
                <w:szCs w:val="20"/>
              </w:rPr>
              <w:t>$7.70</w:t>
            </w:r>
          </w:p>
        </w:tc>
        <w:tc>
          <w:tcPr>
            <w:tcW w:w="1701"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FF6495" w:rsidRPr="002E2CE4" w:rsidRDefault="00FF6495" w:rsidP="00522A11">
            <w:pPr>
              <w:jc w:val="center"/>
              <w:rPr>
                <w:rFonts w:cs="Calibri"/>
                <w:b/>
                <w:bCs/>
                <w:color w:val="000000"/>
                <w:sz w:val="20"/>
                <w:szCs w:val="20"/>
              </w:rPr>
            </w:pPr>
            <w:r w:rsidRPr="002E2CE4">
              <w:rPr>
                <w:rFonts w:cs="Calibri"/>
                <w:b/>
                <w:bCs/>
                <w:color w:val="000000"/>
                <w:sz w:val="20"/>
                <w:szCs w:val="20"/>
              </w:rPr>
              <w:t>$7.83</w:t>
            </w:r>
          </w:p>
        </w:tc>
        <w:tc>
          <w:tcPr>
            <w:tcW w:w="1843"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rsidR="00FF6495" w:rsidRPr="002E2CE4" w:rsidRDefault="00FF6495" w:rsidP="00522A11">
            <w:pPr>
              <w:jc w:val="center"/>
              <w:rPr>
                <w:rFonts w:cs="Calibri"/>
                <w:b/>
                <w:bCs/>
                <w:color w:val="000000"/>
                <w:sz w:val="20"/>
                <w:szCs w:val="20"/>
              </w:rPr>
            </w:pPr>
            <w:r w:rsidRPr="002E2CE4">
              <w:rPr>
                <w:rFonts w:cs="Calibri"/>
                <w:b/>
                <w:bCs/>
                <w:color w:val="000000"/>
                <w:sz w:val="20"/>
                <w:szCs w:val="20"/>
              </w:rPr>
              <w:t>$8.07</w:t>
            </w:r>
          </w:p>
        </w:tc>
      </w:tr>
    </w:tbl>
    <w:p w:rsidR="00812699" w:rsidRPr="005F1C1B" w:rsidRDefault="00812699" w:rsidP="00812699">
      <w:pPr>
        <w:rPr>
          <w:bCs/>
          <w:lang w:eastAsia="en-AU"/>
        </w:rPr>
      </w:pPr>
      <w:r>
        <w:rPr>
          <w:bCs/>
          <w:lang w:eastAsia="en-AU"/>
        </w:rPr>
        <w:t>Expenditure</w:t>
      </w:r>
      <w:r w:rsidRPr="005F1C1B">
        <w:rPr>
          <w:bCs/>
          <w:lang w:eastAsia="en-AU"/>
        </w:rPr>
        <w:t xml:space="preserve"> shown above includes:</w:t>
      </w:r>
    </w:p>
    <w:p w:rsidR="00812699" w:rsidRPr="005F1C1B" w:rsidRDefault="00812699" w:rsidP="00812699">
      <w:pPr>
        <w:numPr>
          <w:ilvl w:val="0"/>
          <w:numId w:val="47"/>
        </w:numPr>
        <w:spacing w:after="0" w:line="240" w:lineRule="auto"/>
        <w:rPr>
          <w:bCs/>
          <w:lang w:eastAsia="en-AU"/>
        </w:rPr>
      </w:pPr>
      <w:r w:rsidRPr="005F1C1B">
        <w:rPr>
          <w:bCs/>
          <w:lang w:eastAsia="en-AU"/>
        </w:rPr>
        <w:t>Introductory English Centre staffing costs, student transport and EALD professional Learning</w:t>
      </w:r>
    </w:p>
    <w:p w:rsidR="00812699" w:rsidRPr="005F1C1B" w:rsidRDefault="00812699" w:rsidP="00812699">
      <w:pPr>
        <w:numPr>
          <w:ilvl w:val="0"/>
          <w:numId w:val="47"/>
        </w:numPr>
        <w:spacing w:after="0" w:line="240" w:lineRule="auto"/>
        <w:rPr>
          <w:bCs/>
          <w:lang w:eastAsia="en-AU"/>
        </w:rPr>
      </w:pPr>
      <w:r w:rsidRPr="005F1C1B">
        <w:rPr>
          <w:bCs/>
          <w:lang w:eastAsia="en-AU"/>
        </w:rPr>
        <w:t>ESL Staffing costs in mainstream schools</w:t>
      </w:r>
    </w:p>
    <w:p w:rsidR="00812699" w:rsidRPr="005F1C1B" w:rsidRDefault="00812699" w:rsidP="00812699">
      <w:pPr>
        <w:numPr>
          <w:ilvl w:val="0"/>
          <w:numId w:val="47"/>
        </w:numPr>
        <w:spacing w:after="0" w:line="240" w:lineRule="auto"/>
        <w:rPr>
          <w:bCs/>
          <w:lang w:eastAsia="en-AU"/>
        </w:rPr>
      </w:pPr>
      <w:r w:rsidRPr="005F1C1B">
        <w:rPr>
          <w:bCs/>
          <w:lang w:eastAsia="en-AU"/>
        </w:rPr>
        <w:t xml:space="preserve">Employee </w:t>
      </w:r>
      <w:proofErr w:type="spellStart"/>
      <w:r w:rsidRPr="005F1C1B">
        <w:rPr>
          <w:bCs/>
          <w:lang w:eastAsia="en-AU"/>
        </w:rPr>
        <w:t>oncosts</w:t>
      </w:r>
      <w:proofErr w:type="spellEnd"/>
      <w:r w:rsidRPr="005F1C1B">
        <w:rPr>
          <w:bCs/>
          <w:lang w:eastAsia="en-AU"/>
        </w:rPr>
        <w:t xml:space="preserve"> including superannuation, </w:t>
      </w:r>
      <w:proofErr w:type="spellStart"/>
      <w:r w:rsidRPr="005F1C1B">
        <w:rPr>
          <w:bCs/>
          <w:lang w:eastAsia="en-AU"/>
        </w:rPr>
        <w:t>Comcare</w:t>
      </w:r>
      <w:proofErr w:type="spellEnd"/>
      <w:r w:rsidRPr="005F1C1B">
        <w:rPr>
          <w:bCs/>
          <w:lang w:eastAsia="en-AU"/>
        </w:rPr>
        <w:t>, long service leave</w:t>
      </w:r>
      <w:r>
        <w:rPr>
          <w:bCs/>
          <w:lang w:eastAsia="en-AU"/>
        </w:rPr>
        <w:t xml:space="preserve"> etc.</w:t>
      </w:r>
    </w:p>
    <w:p w:rsidR="00812699" w:rsidRDefault="00812699" w:rsidP="00812699">
      <w:pPr>
        <w:spacing w:after="0"/>
        <w:rPr>
          <w:bCs/>
          <w:i/>
          <w:smallCaps/>
          <w:sz w:val="20"/>
          <w:szCs w:val="20"/>
          <w:lang w:eastAsia="en-AU"/>
        </w:rPr>
      </w:pPr>
    </w:p>
    <w:p w:rsidR="00812699" w:rsidRDefault="00812699" w:rsidP="00812699">
      <w:pPr>
        <w:spacing w:after="0"/>
        <w:rPr>
          <w:lang w:eastAsia="en-AU"/>
        </w:rPr>
      </w:pPr>
      <w:r w:rsidRPr="00492199">
        <w:rPr>
          <w:bCs/>
          <w:i/>
          <w:smallCaps/>
          <w:sz w:val="20"/>
          <w:szCs w:val="20"/>
          <w:lang w:eastAsia="en-AU"/>
        </w:rPr>
        <w:t xml:space="preserve">NB: </w:t>
      </w:r>
      <w:r w:rsidRPr="00492199">
        <w:rPr>
          <w:i/>
          <w:sz w:val="20"/>
          <w:szCs w:val="20"/>
        </w:rPr>
        <w:t xml:space="preserve">The figures in Table 4 do not include the Central Office staffing position/s.  </w:t>
      </w:r>
    </w:p>
    <w:p w:rsidR="00B80992" w:rsidRDefault="00B80992" w:rsidP="00504B61">
      <w:pPr>
        <w:spacing w:before="120" w:after="120"/>
        <w:rPr>
          <w:lang w:eastAsia="en-AU"/>
        </w:rPr>
      </w:pPr>
    </w:p>
    <w:p w:rsidR="00ED6AF6" w:rsidRPr="00504B61" w:rsidRDefault="0030553F" w:rsidP="00C13B7C">
      <w:pPr>
        <w:pStyle w:val="Heading2"/>
        <w:rPr>
          <w:rStyle w:val="BookTitle"/>
          <w:b/>
        </w:rPr>
      </w:pPr>
      <w:bookmarkStart w:id="78" w:name="_Toc320010931"/>
      <w:bookmarkStart w:id="79" w:name="_Toc321213917"/>
      <w:bookmarkStart w:id="80" w:name="_Toc321224511"/>
      <w:bookmarkStart w:id="81" w:name="_Toc322080322"/>
      <w:bookmarkStart w:id="82" w:name="_Toc322083118"/>
      <w:r>
        <w:rPr>
          <w:rStyle w:val="BookTitle"/>
          <w:b/>
        </w:rPr>
        <w:t>4</w:t>
      </w:r>
      <w:r w:rsidR="005E5DB6" w:rsidRPr="00504B61">
        <w:rPr>
          <w:rStyle w:val="BookTitle"/>
          <w:b/>
        </w:rPr>
        <w:t xml:space="preserve">.2 </w:t>
      </w:r>
      <w:r>
        <w:rPr>
          <w:rStyle w:val="BookTitle"/>
          <w:b/>
        </w:rPr>
        <w:t>Staffing Allocations</w:t>
      </w:r>
      <w:r w:rsidR="00ED6AF6" w:rsidRPr="00504B61">
        <w:rPr>
          <w:rStyle w:val="BookTitle"/>
          <w:b/>
        </w:rPr>
        <w:t xml:space="preserve"> - IECs</w:t>
      </w:r>
      <w:bookmarkEnd w:id="78"/>
      <w:bookmarkEnd w:id="79"/>
      <w:bookmarkEnd w:id="80"/>
      <w:bookmarkEnd w:id="81"/>
      <w:bookmarkEnd w:id="82"/>
    </w:p>
    <w:p w:rsidR="005E5DB6" w:rsidRDefault="0054637D" w:rsidP="00504B61">
      <w:pPr>
        <w:spacing w:before="120" w:after="120"/>
        <w:rPr>
          <w:rFonts w:eastAsia="Times New Roman" w:cs="Calibri"/>
          <w:szCs w:val="20"/>
          <w:lang w:eastAsia="en-AU"/>
        </w:rPr>
      </w:pPr>
      <w:r>
        <w:rPr>
          <w:rFonts w:eastAsia="Times New Roman" w:cs="Calibri"/>
          <w:szCs w:val="20"/>
          <w:lang w:eastAsia="en-AU"/>
        </w:rPr>
        <w:t>The EALD</w:t>
      </w:r>
      <w:r w:rsidRPr="00DA4655">
        <w:rPr>
          <w:rFonts w:eastAsia="Times New Roman" w:cs="Calibri"/>
          <w:szCs w:val="20"/>
          <w:lang w:eastAsia="en-AU"/>
        </w:rPr>
        <w:t xml:space="preserve"> Budget </w:t>
      </w:r>
      <w:r>
        <w:rPr>
          <w:rFonts w:eastAsia="Times New Roman" w:cs="Calibri"/>
          <w:szCs w:val="20"/>
          <w:lang w:eastAsia="en-AU"/>
        </w:rPr>
        <w:t xml:space="preserve">funds staffing positions in IECs. </w:t>
      </w:r>
      <w:r w:rsidR="00ED6AF6" w:rsidRPr="00DA4655">
        <w:rPr>
          <w:rFonts w:eastAsia="Times New Roman" w:cs="Calibri"/>
          <w:szCs w:val="20"/>
          <w:lang w:eastAsia="en-AU"/>
        </w:rPr>
        <w:t>Staffing allocations are</w:t>
      </w:r>
      <w:r w:rsidR="00EC3108">
        <w:rPr>
          <w:rFonts w:eastAsia="Times New Roman" w:cs="Calibri"/>
          <w:szCs w:val="20"/>
          <w:lang w:eastAsia="en-AU"/>
        </w:rPr>
        <w:t xml:space="preserve"> made on a </w:t>
      </w:r>
      <w:proofErr w:type="spellStart"/>
      <w:r w:rsidR="00EC3108">
        <w:rPr>
          <w:rFonts w:eastAsia="Times New Roman" w:cs="Calibri"/>
          <w:szCs w:val="20"/>
          <w:lang w:eastAsia="en-AU"/>
        </w:rPr>
        <w:t>teacher</w:t>
      </w:r>
      <w:proofErr w:type="gramStart"/>
      <w:r w:rsidR="00EC3108">
        <w:rPr>
          <w:rFonts w:eastAsia="Times New Roman" w:cs="Calibri"/>
          <w:szCs w:val="20"/>
          <w:lang w:eastAsia="en-AU"/>
        </w:rPr>
        <w:t>:</w:t>
      </w:r>
      <w:r w:rsidR="00EB5144">
        <w:rPr>
          <w:rFonts w:eastAsia="Times New Roman" w:cs="Calibri"/>
          <w:szCs w:val="20"/>
          <w:lang w:eastAsia="en-AU"/>
        </w:rPr>
        <w:t>student</w:t>
      </w:r>
      <w:proofErr w:type="spellEnd"/>
      <w:proofErr w:type="gramEnd"/>
      <w:r w:rsidR="00EB5144">
        <w:rPr>
          <w:rFonts w:eastAsia="Times New Roman" w:cs="Calibri"/>
          <w:szCs w:val="20"/>
          <w:lang w:eastAsia="en-AU"/>
        </w:rPr>
        <w:t xml:space="preserve"> ratio of 1:12.  </w:t>
      </w:r>
    </w:p>
    <w:p w:rsidR="00EB5144" w:rsidRDefault="00EB5144" w:rsidP="00504B61">
      <w:pPr>
        <w:spacing w:before="120" w:after="120"/>
        <w:rPr>
          <w:rFonts w:eastAsia="Times New Roman" w:cs="Calibri"/>
          <w:szCs w:val="20"/>
          <w:lang w:eastAsia="en-AU"/>
        </w:rPr>
      </w:pPr>
      <w:r>
        <w:rPr>
          <w:rFonts w:eastAsia="Times New Roman" w:cs="Calibri"/>
          <w:szCs w:val="20"/>
          <w:lang w:eastAsia="en-AU"/>
        </w:rPr>
        <w:t>Each year</w:t>
      </w:r>
      <w:r w:rsidR="003D2423">
        <w:rPr>
          <w:rFonts w:eastAsia="Times New Roman" w:cs="Calibri"/>
          <w:szCs w:val="20"/>
          <w:lang w:eastAsia="en-AU"/>
        </w:rPr>
        <w:t>,</w:t>
      </w:r>
      <w:r>
        <w:rPr>
          <w:rFonts w:eastAsia="Times New Roman" w:cs="Calibri"/>
          <w:szCs w:val="20"/>
          <w:lang w:eastAsia="en-AU"/>
        </w:rPr>
        <w:t xml:space="preserve"> the Directorate provides a base staffing </w:t>
      </w:r>
      <w:r w:rsidR="00E8224F">
        <w:rPr>
          <w:rFonts w:eastAsia="Times New Roman" w:cs="Calibri"/>
          <w:szCs w:val="20"/>
          <w:lang w:eastAsia="en-AU"/>
        </w:rPr>
        <w:t xml:space="preserve">allocation </w:t>
      </w:r>
      <w:r>
        <w:rPr>
          <w:rFonts w:eastAsia="Times New Roman" w:cs="Calibri"/>
          <w:szCs w:val="20"/>
          <w:lang w:eastAsia="en-AU"/>
        </w:rPr>
        <w:t>to:</w:t>
      </w:r>
    </w:p>
    <w:p w:rsidR="00EB5144" w:rsidRPr="00D4677C" w:rsidRDefault="00492199" w:rsidP="008F35EE">
      <w:pPr>
        <w:numPr>
          <w:ilvl w:val="0"/>
          <w:numId w:val="28"/>
        </w:numPr>
        <w:spacing w:before="120" w:after="120"/>
        <w:rPr>
          <w:rFonts w:eastAsia="Times New Roman" w:cs="Calibri"/>
          <w:szCs w:val="20"/>
          <w:lang w:eastAsia="en-AU"/>
        </w:rPr>
      </w:pPr>
      <w:r>
        <w:rPr>
          <w:rFonts w:eastAsia="Times New Roman" w:cs="Calibri"/>
          <w:szCs w:val="20"/>
          <w:lang w:eastAsia="en-AU"/>
        </w:rPr>
        <w:t>Four</w:t>
      </w:r>
      <w:r w:rsidR="00D92605">
        <w:rPr>
          <w:rFonts w:eastAsia="Times New Roman" w:cs="Calibri"/>
          <w:szCs w:val="20"/>
          <w:lang w:eastAsia="en-AU"/>
        </w:rPr>
        <w:t xml:space="preserve"> </w:t>
      </w:r>
      <w:r w:rsidR="00EB5144" w:rsidRPr="00D4677C">
        <w:rPr>
          <w:rFonts w:eastAsia="Times New Roman" w:cs="Calibri"/>
          <w:szCs w:val="20"/>
          <w:lang w:eastAsia="en-AU"/>
        </w:rPr>
        <w:t>Primary IECs of:</w:t>
      </w:r>
    </w:p>
    <w:p w:rsidR="00EB5144" w:rsidRPr="00D4677C" w:rsidRDefault="00EB5144" w:rsidP="008F35EE">
      <w:pPr>
        <w:numPr>
          <w:ilvl w:val="1"/>
          <w:numId w:val="34"/>
        </w:numPr>
        <w:spacing w:before="120" w:after="120"/>
        <w:rPr>
          <w:rFonts w:eastAsia="Times New Roman" w:cs="Calibri"/>
          <w:szCs w:val="20"/>
          <w:lang w:eastAsia="en-AU"/>
        </w:rPr>
      </w:pPr>
      <w:r w:rsidRPr="00D4677C">
        <w:rPr>
          <w:rFonts w:eastAsia="Times New Roman" w:cs="Calibri"/>
          <w:szCs w:val="20"/>
          <w:lang w:eastAsia="en-AU"/>
        </w:rPr>
        <w:t>12 classroom teachers</w:t>
      </w:r>
    </w:p>
    <w:p w:rsidR="00EB5144" w:rsidRPr="00D4677C" w:rsidRDefault="00492199" w:rsidP="008F35EE">
      <w:pPr>
        <w:numPr>
          <w:ilvl w:val="1"/>
          <w:numId w:val="34"/>
        </w:numPr>
        <w:spacing w:before="120" w:after="120"/>
        <w:rPr>
          <w:rFonts w:eastAsia="Times New Roman" w:cs="Calibri"/>
          <w:szCs w:val="20"/>
          <w:lang w:eastAsia="en-AU"/>
        </w:rPr>
      </w:pPr>
      <w:r>
        <w:rPr>
          <w:rFonts w:eastAsia="Times New Roman" w:cs="Calibri"/>
          <w:szCs w:val="20"/>
          <w:lang w:eastAsia="en-AU"/>
        </w:rPr>
        <w:t>4.5</w:t>
      </w:r>
      <w:r w:rsidR="00FA652A">
        <w:rPr>
          <w:rFonts w:eastAsia="Times New Roman" w:cs="Calibri"/>
          <w:szCs w:val="20"/>
          <w:lang w:eastAsia="en-AU"/>
        </w:rPr>
        <w:t xml:space="preserve"> school assistants.</w:t>
      </w:r>
    </w:p>
    <w:p w:rsidR="00EB5144" w:rsidRPr="00D4677C" w:rsidRDefault="00492199" w:rsidP="008F35EE">
      <w:pPr>
        <w:numPr>
          <w:ilvl w:val="0"/>
          <w:numId w:val="28"/>
        </w:numPr>
        <w:spacing w:before="120" w:after="120"/>
        <w:rPr>
          <w:rFonts w:eastAsia="Times New Roman" w:cs="Calibri"/>
          <w:szCs w:val="20"/>
          <w:lang w:eastAsia="en-AU"/>
        </w:rPr>
      </w:pPr>
      <w:r>
        <w:rPr>
          <w:rFonts w:eastAsia="Times New Roman" w:cs="Calibri"/>
          <w:szCs w:val="20"/>
          <w:lang w:eastAsia="en-AU"/>
        </w:rPr>
        <w:t>One</w:t>
      </w:r>
      <w:r w:rsidR="00D92605">
        <w:rPr>
          <w:rFonts w:eastAsia="Times New Roman" w:cs="Calibri"/>
          <w:szCs w:val="20"/>
          <w:lang w:eastAsia="en-AU"/>
        </w:rPr>
        <w:t xml:space="preserve"> </w:t>
      </w:r>
      <w:r w:rsidR="00EB5144" w:rsidRPr="00D4677C">
        <w:rPr>
          <w:rFonts w:eastAsia="Times New Roman" w:cs="Calibri"/>
          <w:szCs w:val="20"/>
          <w:lang w:eastAsia="en-AU"/>
        </w:rPr>
        <w:t>Secondary IEC of:</w:t>
      </w:r>
    </w:p>
    <w:p w:rsidR="00EB5144" w:rsidRPr="00D4677C" w:rsidRDefault="00EB5144" w:rsidP="008F35EE">
      <w:pPr>
        <w:numPr>
          <w:ilvl w:val="1"/>
          <w:numId w:val="34"/>
        </w:numPr>
        <w:spacing w:before="120" w:after="120"/>
        <w:rPr>
          <w:rFonts w:eastAsia="Times New Roman" w:cs="Calibri"/>
          <w:szCs w:val="20"/>
          <w:lang w:eastAsia="en-AU"/>
        </w:rPr>
      </w:pPr>
      <w:r w:rsidRPr="00D4677C">
        <w:rPr>
          <w:rFonts w:eastAsia="Times New Roman" w:cs="Calibri"/>
          <w:szCs w:val="20"/>
          <w:lang w:eastAsia="en-AU"/>
        </w:rPr>
        <w:t xml:space="preserve">1 </w:t>
      </w:r>
      <w:r w:rsidR="00492199">
        <w:rPr>
          <w:rFonts w:eastAsia="Times New Roman" w:cs="Calibri"/>
          <w:szCs w:val="20"/>
          <w:lang w:eastAsia="en-AU"/>
        </w:rPr>
        <w:t>Executive teacher</w:t>
      </w:r>
    </w:p>
    <w:p w:rsidR="00EB5144" w:rsidRPr="00D4677C" w:rsidRDefault="00EB5144" w:rsidP="008F35EE">
      <w:pPr>
        <w:numPr>
          <w:ilvl w:val="1"/>
          <w:numId w:val="34"/>
        </w:numPr>
        <w:spacing w:before="120" w:after="120"/>
        <w:rPr>
          <w:rFonts w:eastAsia="Times New Roman" w:cs="Calibri"/>
          <w:szCs w:val="20"/>
          <w:lang w:eastAsia="en-AU"/>
        </w:rPr>
      </w:pPr>
      <w:r w:rsidRPr="00D4677C">
        <w:rPr>
          <w:rFonts w:eastAsia="Times New Roman" w:cs="Calibri"/>
          <w:szCs w:val="20"/>
          <w:lang w:eastAsia="en-AU"/>
        </w:rPr>
        <w:t>8 classroom teachers</w:t>
      </w:r>
    </w:p>
    <w:p w:rsidR="00EB5144" w:rsidRPr="00D4677C" w:rsidRDefault="00EB5144" w:rsidP="008F35EE">
      <w:pPr>
        <w:numPr>
          <w:ilvl w:val="1"/>
          <w:numId w:val="34"/>
        </w:numPr>
        <w:spacing w:before="120" w:after="120"/>
        <w:rPr>
          <w:rFonts w:eastAsia="Times New Roman" w:cs="Calibri"/>
          <w:szCs w:val="20"/>
          <w:lang w:eastAsia="en-AU"/>
        </w:rPr>
      </w:pPr>
      <w:r w:rsidRPr="00D4677C">
        <w:rPr>
          <w:rFonts w:eastAsia="Times New Roman" w:cs="Calibri"/>
          <w:szCs w:val="20"/>
          <w:lang w:eastAsia="en-AU"/>
        </w:rPr>
        <w:t>1.5 school assistants</w:t>
      </w:r>
      <w:r w:rsidR="00FA652A">
        <w:rPr>
          <w:rFonts w:eastAsia="Times New Roman" w:cs="Calibri"/>
          <w:szCs w:val="20"/>
          <w:lang w:eastAsia="en-AU"/>
        </w:rPr>
        <w:t>.</w:t>
      </w:r>
    </w:p>
    <w:p w:rsidR="00EB5144" w:rsidRDefault="00EB5144" w:rsidP="00EB5144">
      <w:pPr>
        <w:spacing w:before="120" w:after="120"/>
        <w:rPr>
          <w:rFonts w:eastAsia="Times New Roman" w:cs="Calibri"/>
          <w:szCs w:val="20"/>
          <w:lang w:eastAsia="en-AU"/>
        </w:rPr>
      </w:pPr>
      <w:r w:rsidRPr="00EB5144">
        <w:rPr>
          <w:rFonts w:eastAsia="Times New Roman" w:cs="Calibri"/>
          <w:szCs w:val="20"/>
          <w:lang w:eastAsia="en-AU"/>
        </w:rPr>
        <w:t>Each term</w:t>
      </w:r>
      <w:r w:rsidR="00ED617F">
        <w:rPr>
          <w:rFonts w:eastAsia="Times New Roman" w:cs="Calibri"/>
          <w:szCs w:val="20"/>
          <w:lang w:eastAsia="en-AU"/>
        </w:rPr>
        <w:t>,</w:t>
      </w:r>
      <w:r w:rsidRPr="00EB5144">
        <w:rPr>
          <w:rFonts w:eastAsia="Times New Roman" w:cs="Calibri"/>
          <w:szCs w:val="20"/>
          <w:lang w:eastAsia="en-AU"/>
        </w:rPr>
        <w:t xml:space="preserve"> additional teachers are provided to IECs as enrolments increase. For</w:t>
      </w:r>
      <w:r w:rsidR="00ED617F">
        <w:rPr>
          <w:rFonts w:eastAsia="Times New Roman" w:cs="Calibri"/>
          <w:szCs w:val="20"/>
          <w:lang w:eastAsia="en-AU"/>
        </w:rPr>
        <w:t xml:space="preserve"> example, in t</w:t>
      </w:r>
      <w:r w:rsidRPr="00EB5144">
        <w:rPr>
          <w:rFonts w:eastAsia="Times New Roman" w:cs="Calibri"/>
          <w:szCs w:val="20"/>
          <w:lang w:eastAsia="en-AU"/>
        </w:rPr>
        <w:t>erm 1 2012</w:t>
      </w:r>
      <w:r w:rsidR="00ED617F">
        <w:rPr>
          <w:rFonts w:eastAsia="Times New Roman" w:cs="Calibri"/>
          <w:szCs w:val="20"/>
          <w:lang w:eastAsia="en-AU"/>
        </w:rPr>
        <w:t>,</w:t>
      </w:r>
      <w:r w:rsidRPr="00EB5144">
        <w:rPr>
          <w:rFonts w:eastAsia="Times New Roman" w:cs="Calibri"/>
          <w:szCs w:val="20"/>
          <w:lang w:eastAsia="en-AU"/>
        </w:rPr>
        <w:t xml:space="preserve"> an additional teacher has been provided to</w:t>
      </w:r>
      <w:r w:rsidR="00D92605">
        <w:rPr>
          <w:rFonts w:eastAsia="Times New Roman" w:cs="Calibri"/>
          <w:szCs w:val="20"/>
          <w:lang w:eastAsia="en-AU"/>
        </w:rPr>
        <w:t xml:space="preserve"> each of</w:t>
      </w:r>
      <w:r w:rsidR="00ED617F">
        <w:rPr>
          <w:rFonts w:eastAsia="Times New Roman" w:cs="Calibri"/>
          <w:szCs w:val="20"/>
          <w:lang w:eastAsia="en-AU"/>
        </w:rPr>
        <w:t xml:space="preserve"> three</w:t>
      </w:r>
      <w:r w:rsidRPr="00EB5144">
        <w:rPr>
          <w:rFonts w:eastAsia="Times New Roman" w:cs="Calibri"/>
          <w:szCs w:val="20"/>
          <w:lang w:eastAsia="en-AU"/>
        </w:rPr>
        <w:t xml:space="preserve"> </w:t>
      </w:r>
      <w:r w:rsidR="00050F55">
        <w:rPr>
          <w:rFonts w:eastAsia="Times New Roman" w:cs="Calibri"/>
          <w:szCs w:val="20"/>
          <w:lang w:eastAsia="en-AU"/>
        </w:rPr>
        <w:t xml:space="preserve">existing </w:t>
      </w:r>
      <w:r w:rsidRPr="00EB5144">
        <w:rPr>
          <w:rFonts w:eastAsia="Times New Roman" w:cs="Calibri"/>
          <w:szCs w:val="20"/>
          <w:lang w:eastAsia="en-AU"/>
        </w:rPr>
        <w:t>primary IECs</w:t>
      </w:r>
      <w:r w:rsidR="00050F55">
        <w:rPr>
          <w:rFonts w:eastAsia="Times New Roman" w:cs="Calibri"/>
          <w:szCs w:val="20"/>
          <w:lang w:eastAsia="en-AU"/>
        </w:rPr>
        <w:t xml:space="preserve"> (the fourth unit at Charnwood Dunlop Primary School opened in 2012)</w:t>
      </w:r>
      <w:r w:rsidRPr="00EB5144">
        <w:rPr>
          <w:rFonts w:eastAsia="Times New Roman" w:cs="Calibri"/>
          <w:szCs w:val="20"/>
          <w:lang w:eastAsia="en-AU"/>
        </w:rPr>
        <w:t>.</w:t>
      </w:r>
    </w:p>
    <w:p w:rsidR="00F70AF9" w:rsidRDefault="00F70AF9" w:rsidP="00EB5144">
      <w:pPr>
        <w:spacing w:before="120" w:after="120"/>
        <w:rPr>
          <w:rFonts w:eastAsia="Times New Roman" w:cs="Calibri"/>
          <w:szCs w:val="20"/>
          <w:lang w:eastAsia="en-AU"/>
        </w:rPr>
      </w:pPr>
    </w:p>
    <w:p w:rsidR="00ED6AF6" w:rsidRPr="00504B61" w:rsidRDefault="00C13B7C" w:rsidP="00C13B7C">
      <w:pPr>
        <w:pStyle w:val="Heading2"/>
        <w:rPr>
          <w:rStyle w:val="BookTitle"/>
          <w:b/>
        </w:rPr>
      </w:pPr>
      <w:bookmarkStart w:id="83" w:name="_Toc318813924"/>
      <w:bookmarkStart w:id="84" w:name="_Toc318816207"/>
      <w:bookmarkStart w:id="85" w:name="_Toc318816235"/>
      <w:bookmarkStart w:id="86" w:name="_Toc320010932"/>
      <w:bookmarkStart w:id="87" w:name="_Toc321213918"/>
      <w:bookmarkStart w:id="88" w:name="_Toc321224512"/>
      <w:bookmarkStart w:id="89" w:name="_Toc322080323"/>
      <w:r>
        <w:rPr>
          <w:rStyle w:val="BookTitle"/>
          <w:b/>
        </w:rPr>
        <w:br w:type="page"/>
      </w:r>
      <w:bookmarkStart w:id="90" w:name="_Toc322083119"/>
      <w:r w:rsidR="0030553F">
        <w:rPr>
          <w:rStyle w:val="BookTitle"/>
          <w:b/>
        </w:rPr>
        <w:t>4</w:t>
      </w:r>
      <w:r w:rsidR="005E5DB6" w:rsidRPr="00504B61">
        <w:rPr>
          <w:rStyle w:val="BookTitle"/>
          <w:b/>
        </w:rPr>
        <w:t xml:space="preserve">.3 </w:t>
      </w:r>
      <w:bookmarkEnd w:id="83"/>
      <w:bookmarkEnd w:id="84"/>
      <w:bookmarkEnd w:id="85"/>
      <w:bookmarkEnd w:id="86"/>
      <w:bookmarkEnd w:id="87"/>
      <w:bookmarkEnd w:id="88"/>
      <w:r w:rsidR="0030553F">
        <w:rPr>
          <w:rStyle w:val="BookTitle"/>
          <w:b/>
        </w:rPr>
        <w:t>Staffing Allocations – Mainstream Settings</w:t>
      </w:r>
      <w:bookmarkEnd w:id="89"/>
      <w:bookmarkEnd w:id="90"/>
    </w:p>
    <w:p w:rsidR="002A2B6A" w:rsidRDefault="009D0295" w:rsidP="00504B61">
      <w:pPr>
        <w:spacing w:before="120" w:after="120"/>
        <w:rPr>
          <w:rFonts w:cs="Calibri"/>
        </w:rPr>
      </w:pPr>
      <w:bookmarkStart w:id="91" w:name="_Toc306362251"/>
      <w:r w:rsidRPr="00DA4655">
        <w:rPr>
          <w:rFonts w:cs="Calibri"/>
        </w:rPr>
        <w:t>In 2012</w:t>
      </w:r>
      <w:r w:rsidR="00762C36">
        <w:rPr>
          <w:rFonts w:cs="Calibri"/>
        </w:rPr>
        <w:t>,</w:t>
      </w:r>
      <w:r w:rsidR="00FA652A">
        <w:rPr>
          <w:rFonts w:cs="Calibri"/>
        </w:rPr>
        <w:t xml:space="preserve"> the estimated </w:t>
      </w:r>
      <w:proofErr w:type="gramStart"/>
      <w:r w:rsidR="00FA652A">
        <w:rPr>
          <w:rFonts w:cs="Calibri"/>
        </w:rPr>
        <w:t>points</w:t>
      </w:r>
      <w:proofErr w:type="gramEnd"/>
      <w:r w:rsidRPr="00DA4655">
        <w:rPr>
          <w:rFonts w:cs="Calibri"/>
        </w:rPr>
        <w:t xml:space="preserve"> allocations to mainstream schools </w:t>
      </w:r>
      <w:r w:rsidR="00CD5DDB">
        <w:rPr>
          <w:rFonts w:cs="Calibri"/>
        </w:rPr>
        <w:t>across public schools</w:t>
      </w:r>
      <w:r w:rsidR="00050F55">
        <w:rPr>
          <w:rFonts w:cs="Calibri"/>
        </w:rPr>
        <w:t xml:space="preserve"> for EALD staffing</w:t>
      </w:r>
      <w:r w:rsidR="00CD5DDB">
        <w:rPr>
          <w:rFonts w:cs="Calibri"/>
        </w:rPr>
        <w:t xml:space="preserve"> </w:t>
      </w:r>
      <w:r w:rsidRPr="00DA4655">
        <w:rPr>
          <w:rFonts w:cs="Calibri"/>
        </w:rPr>
        <w:t>equate to 69.5 Fulltime Equivalent (FTE) teaching positions.</w:t>
      </w:r>
      <w:r w:rsidR="0030553F">
        <w:rPr>
          <w:rFonts w:cs="Calibri"/>
        </w:rPr>
        <w:t xml:space="preserve"> This translates to a minimum of one day per week (0.2 FTE) staffing allocation to each school.</w:t>
      </w:r>
    </w:p>
    <w:p w:rsidR="00EB3C98" w:rsidRPr="00D964F0" w:rsidRDefault="00EB3C98" w:rsidP="00504B61">
      <w:pPr>
        <w:spacing w:before="120" w:after="120"/>
      </w:pPr>
      <w:r>
        <w:rPr>
          <w:rFonts w:cs="Calibri"/>
        </w:rPr>
        <w:t>The total EALD staffing allocation is calculated through a percentage budget allocation against total enrolments.</w:t>
      </w:r>
    </w:p>
    <w:p w:rsidR="00ED6AF6" w:rsidRPr="0069696E" w:rsidRDefault="00ED6AF6" w:rsidP="00504B61">
      <w:pPr>
        <w:spacing w:before="120" w:after="120"/>
        <w:rPr>
          <w:rFonts w:cs="Calibri"/>
          <w:sz w:val="16"/>
          <w:szCs w:val="16"/>
        </w:rPr>
      </w:pPr>
      <w:r w:rsidRPr="00DA4655">
        <w:rPr>
          <w:rFonts w:cs="Calibri"/>
        </w:rPr>
        <w:t xml:space="preserve">Schools </w:t>
      </w:r>
      <w:r w:rsidR="00C75A47">
        <w:rPr>
          <w:rFonts w:cs="Calibri"/>
        </w:rPr>
        <w:t>that</w:t>
      </w:r>
      <w:r w:rsidRPr="00DA4655">
        <w:rPr>
          <w:rFonts w:cs="Calibri"/>
        </w:rPr>
        <w:t xml:space="preserve"> have identified eligible EALD students</w:t>
      </w:r>
      <w:r w:rsidR="00587BD4">
        <w:rPr>
          <w:rFonts w:cs="Calibri"/>
        </w:rPr>
        <w:t>,</w:t>
      </w:r>
      <w:r w:rsidRPr="00DA4655">
        <w:rPr>
          <w:rFonts w:cs="Calibri"/>
        </w:rPr>
        <w:t xml:space="preserve"> and completed the annual EALD assessment process</w:t>
      </w:r>
      <w:r w:rsidR="00587BD4">
        <w:rPr>
          <w:rFonts w:cs="Calibri"/>
        </w:rPr>
        <w:t>,</w:t>
      </w:r>
      <w:r w:rsidRPr="00DA4655">
        <w:rPr>
          <w:rFonts w:cs="Calibri"/>
        </w:rPr>
        <w:t xml:space="preserve"> receive an EALD staffing allocation based on the total system budget allocation and the number of students identified as requiring support</w:t>
      </w:r>
      <w:bookmarkEnd w:id="91"/>
      <w:r w:rsidRPr="00DA4655">
        <w:rPr>
          <w:rFonts w:cs="Calibri"/>
        </w:rPr>
        <w:t>.  To ensure students with the greatest need are targeted for support, the EALD staffing allocation is distributed across ACT public schools</w:t>
      </w:r>
      <w:r w:rsidR="00587BD4">
        <w:rPr>
          <w:rFonts w:cs="Calibri"/>
        </w:rPr>
        <w:t>,</w:t>
      </w:r>
      <w:r w:rsidRPr="00DA4655">
        <w:rPr>
          <w:rFonts w:cs="Calibri"/>
        </w:rPr>
        <w:t xml:space="preserve"> starting with </w:t>
      </w:r>
      <w:r w:rsidR="0030553F">
        <w:rPr>
          <w:rFonts w:cs="Calibri"/>
        </w:rPr>
        <w:t xml:space="preserve">allocations for </w:t>
      </w:r>
      <w:r w:rsidRPr="00DA4655">
        <w:rPr>
          <w:rFonts w:cs="Calibri"/>
        </w:rPr>
        <w:t xml:space="preserve">individual students with the lowest Language Performance Ratings (LPR). </w:t>
      </w:r>
      <w:r w:rsidR="002A49B2">
        <w:rPr>
          <w:rFonts w:cs="Calibri"/>
        </w:rPr>
        <w:br/>
      </w:r>
    </w:p>
    <w:p w:rsidR="00311D63" w:rsidRDefault="00311D63" w:rsidP="00311D63">
      <w:pPr>
        <w:spacing w:before="120" w:after="120"/>
        <w:rPr>
          <w:rFonts w:cs="Calibri"/>
          <w:b/>
          <w:i/>
          <w:sz w:val="20"/>
        </w:rPr>
      </w:pPr>
      <w:r w:rsidRPr="00F70AF9">
        <w:rPr>
          <w:rFonts w:cs="Calibri"/>
          <w:b/>
          <w:i/>
          <w:sz w:val="20"/>
        </w:rPr>
        <w:t xml:space="preserve">Table </w:t>
      </w:r>
      <w:r w:rsidR="0024251E">
        <w:rPr>
          <w:rFonts w:cs="Calibri"/>
          <w:b/>
          <w:i/>
          <w:sz w:val="20"/>
        </w:rPr>
        <w:t>5</w:t>
      </w:r>
      <w:r w:rsidR="00F70AF9">
        <w:rPr>
          <w:rFonts w:cs="Calibri"/>
          <w:b/>
          <w:i/>
          <w:color w:val="FF0000"/>
          <w:sz w:val="20"/>
        </w:rPr>
        <w:t xml:space="preserve"> </w:t>
      </w:r>
      <w:r w:rsidRPr="00DA4655">
        <w:rPr>
          <w:rFonts w:cs="Calibri"/>
          <w:b/>
          <w:i/>
          <w:sz w:val="20"/>
        </w:rPr>
        <w:t>- LPR Cut-offs</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1056"/>
        <w:gridCol w:w="992"/>
        <w:gridCol w:w="993"/>
        <w:gridCol w:w="992"/>
        <w:gridCol w:w="992"/>
        <w:gridCol w:w="2445"/>
      </w:tblGrid>
      <w:tr w:rsidR="00311D63" w:rsidRPr="00DA4655" w:rsidTr="00D4677C">
        <w:trPr>
          <w:trHeight w:val="340"/>
          <w:jc w:val="center"/>
        </w:trPr>
        <w:tc>
          <w:tcPr>
            <w:tcW w:w="823" w:type="dxa"/>
            <w:vMerge w:val="restart"/>
            <w:shd w:val="clear" w:color="auto" w:fill="auto"/>
            <w:noWrap/>
            <w:vAlign w:val="center"/>
            <w:hideMark/>
          </w:tcPr>
          <w:p w:rsidR="00311D63" w:rsidRPr="00DA4655" w:rsidRDefault="00311D63" w:rsidP="00D4677C">
            <w:pPr>
              <w:spacing w:before="120" w:after="120"/>
              <w:rPr>
                <w:rFonts w:eastAsia="Times New Roman" w:cs="Calibri"/>
                <w:b/>
                <w:bCs/>
                <w:sz w:val="20"/>
                <w:szCs w:val="20"/>
                <w:lang w:eastAsia="en-AU"/>
              </w:rPr>
            </w:pPr>
            <w:r w:rsidRPr="00DA4655">
              <w:rPr>
                <w:rFonts w:eastAsia="Times New Roman" w:cs="Calibri"/>
                <w:b/>
                <w:bCs/>
                <w:sz w:val="20"/>
                <w:szCs w:val="20"/>
                <w:lang w:eastAsia="en-AU"/>
              </w:rPr>
              <w:t>Year</w:t>
            </w:r>
          </w:p>
        </w:tc>
        <w:tc>
          <w:tcPr>
            <w:tcW w:w="2048" w:type="dxa"/>
            <w:gridSpan w:val="2"/>
            <w:shd w:val="clear" w:color="auto" w:fill="auto"/>
            <w:noWrap/>
            <w:vAlign w:val="bottom"/>
            <w:hideMark/>
          </w:tcPr>
          <w:p w:rsidR="00311D63" w:rsidRPr="00DA4655" w:rsidRDefault="00311D63" w:rsidP="00D4677C">
            <w:pPr>
              <w:spacing w:before="120" w:after="120"/>
              <w:rPr>
                <w:rFonts w:eastAsia="Times New Roman" w:cs="Calibri"/>
                <w:b/>
                <w:bCs/>
                <w:sz w:val="20"/>
                <w:szCs w:val="20"/>
                <w:lang w:eastAsia="en-AU"/>
              </w:rPr>
            </w:pPr>
            <w:r w:rsidRPr="00DA4655">
              <w:rPr>
                <w:rFonts w:eastAsia="Times New Roman" w:cs="Calibri"/>
                <w:b/>
                <w:bCs/>
                <w:sz w:val="20"/>
                <w:szCs w:val="20"/>
                <w:lang w:eastAsia="en-AU"/>
              </w:rPr>
              <w:t>LPR Cut-off</w:t>
            </w:r>
          </w:p>
        </w:tc>
        <w:tc>
          <w:tcPr>
            <w:tcW w:w="2977" w:type="dxa"/>
            <w:gridSpan w:val="3"/>
            <w:shd w:val="clear" w:color="auto" w:fill="auto"/>
            <w:noWrap/>
            <w:vAlign w:val="bottom"/>
            <w:hideMark/>
          </w:tcPr>
          <w:p w:rsidR="00311D63" w:rsidRPr="00DA4655" w:rsidRDefault="00311D63" w:rsidP="00D4677C">
            <w:pPr>
              <w:spacing w:before="120" w:after="120"/>
              <w:rPr>
                <w:rFonts w:eastAsia="Times New Roman" w:cs="Calibri"/>
                <w:b/>
                <w:bCs/>
                <w:sz w:val="20"/>
                <w:szCs w:val="20"/>
                <w:lang w:eastAsia="en-AU"/>
              </w:rPr>
            </w:pPr>
            <w:r w:rsidRPr="00DA4655">
              <w:rPr>
                <w:rFonts w:eastAsia="Times New Roman" w:cs="Calibri"/>
                <w:b/>
                <w:bCs/>
                <w:sz w:val="20"/>
                <w:szCs w:val="20"/>
                <w:lang w:eastAsia="en-AU"/>
              </w:rPr>
              <w:t>Number of Students</w:t>
            </w:r>
          </w:p>
        </w:tc>
        <w:tc>
          <w:tcPr>
            <w:tcW w:w="2445" w:type="dxa"/>
            <w:vMerge w:val="restart"/>
            <w:shd w:val="clear" w:color="auto" w:fill="auto"/>
            <w:vAlign w:val="bottom"/>
            <w:hideMark/>
          </w:tcPr>
          <w:p w:rsidR="00311D63" w:rsidRPr="00DA4655" w:rsidRDefault="00311D63" w:rsidP="00D4677C">
            <w:pPr>
              <w:spacing w:before="120" w:after="120"/>
              <w:rPr>
                <w:rFonts w:eastAsia="Times New Roman" w:cs="Calibri"/>
                <w:b/>
                <w:bCs/>
                <w:sz w:val="20"/>
                <w:szCs w:val="20"/>
                <w:lang w:eastAsia="en-AU"/>
              </w:rPr>
            </w:pPr>
            <w:r w:rsidRPr="00DA4655">
              <w:rPr>
                <w:rFonts w:eastAsia="Times New Roman" w:cs="Calibri"/>
                <w:b/>
                <w:bCs/>
                <w:sz w:val="20"/>
                <w:szCs w:val="20"/>
                <w:lang w:eastAsia="en-AU"/>
              </w:rPr>
              <w:t>% of Eligible Students funded</w:t>
            </w:r>
          </w:p>
        </w:tc>
      </w:tr>
      <w:tr w:rsidR="00311D63" w:rsidRPr="00DA4655" w:rsidTr="00D4677C">
        <w:trPr>
          <w:trHeight w:val="340"/>
          <w:jc w:val="center"/>
        </w:trPr>
        <w:tc>
          <w:tcPr>
            <w:tcW w:w="823" w:type="dxa"/>
            <w:vMerge/>
            <w:vAlign w:val="center"/>
            <w:hideMark/>
          </w:tcPr>
          <w:p w:rsidR="00311D63" w:rsidRPr="00DA4655" w:rsidRDefault="00311D63" w:rsidP="00D4677C">
            <w:pPr>
              <w:spacing w:before="120" w:after="120"/>
              <w:rPr>
                <w:rFonts w:eastAsia="Times New Roman" w:cs="Calibri"/>
                <w:b/>
                <w:bCs/>
                <w:sz w:val="20"/>
                <w:szCs w:val="20"/>
                <w:lang w:eastAsia="en-AU"/>
              </w:rPr>
            </w:pPr>
          </w:p>
        </w:tc>
        <w:tc>
          <w:tcPr>
            <w:tcW w:w="1056" w:type="dxa"/>
            <w:shd w:val="clear" w:color="auto" w:fill="auto"/>
            <w:noWrap/>
            <w:vAlign w:val="bottom"/>
            <w:hideMark/>
          </w:tcPr>
          <w:p w:rsidR="00311D63" w:rsidRPr="00DA4655" w:rsidRDefault="00751C86" w:rsidP="00D4677C">
            <w:pPr>
              <w:spacing w:before="120" w:after="120"/>
              <w:rPr>
                <w:rFonts w:eastAsia="Times New Roman" w:cs="Calibri"/>
                <w:b/>
                <w:bCs/>
                <w:sz w:val="20"/>
                <w:szCs w:val="20"/>
                <w:lang w:eastAsia="en-AU"/>
              </w:rPr>
            </w:pPr>
            <w:r>
              <w:rPr>
                <w:rFonts w:eastAsia="Times New Roman" w:cs="Calibri"/>
                <w:b/>
                <w:bCs/>
                <w:sz w:val="20"/>
                <w:szCs w:val="20"/>
                <w:lang w:eastAsia="en-AU"/>
              </w:rPr>
              <w:t>Full</w:t>
            </w:r>
          </w:p>
        </w:tc>
        <w:tc>
          <w:tcPr>
            <w:tcW w:w="992" w:type="dxa"/>
            <w:shd w:val="clear" w:color="auto" w:fill="auto"/>
            <w:noWrap/>
            <w:vAlign w:val="bottom"/>
            <w:hideMark/>
          </w:tcPr>
          <w:p w:rsidR="00311D63" w:rsidRPr="00DA4655" w:rsidRDefault="00311D63" w:rsidP="00D4677C">
            <w:pPr>
              <w:spacing w:before="120" w:after="120"/>
              <w:rPr>
                <w:rFonts w:eastAsia="Times New Roman" w:cs="Calibri"/>
                <w:b/>
                <w:bCs/>
                <w:sz w:val="20"/>
                <w:szCs w:val="20"/>
                <w:lang w:eastAsia="en-AU"/>
              </w:rPr>
            </w:pPr>
            <w:r w:rsidRPr="00DA4655">
              <w:rPr>
                <w:rFonts w:eastAsia="Times New Roman" w:cs="Calibri"/>
                <w:b/>
                <w:bCs/>
                <w:sz w:val="20"/>
                <w:szCs w:val="20"/>
                <w:lang w:eastAsia="en-AU"/>
              </w:rPr>
              <w:t>Partial</w:t>
            </w:r>
          </w:p>
        </w:tc>
        <w:tc>
          <w:tcPr>
            <w:tcW w:w="993" w:type="dxa"/>
            <w:shd w:val="clear" w:color="auto" w:fill="auto"/>
            <w:noWrap/>
            <w:vAlign w:val="bottom"/>
            <w:hideMark/>
          </w:tcPr>
          <w:p w:rsidR="00311D63" w:rsidRPr="00DA4655" w:rsidRDefault="00751C86" w:rsidP="00D4677C">
            <w:pPr>
              <w:spacing w:before="120" w:after="120"/>
              <w:rPr>
                <w:rFonts w:eastAsia="Times New Roman" w:cs="Calibri"/>
                <w:b/>
                <w:bCs/>
                <w:sz w:val="20"/>
                <w:szCs w:val="20"/>
                <w:lang w:eastAsia="en-AU"/>
              </w:rPr>
            </w:pPr>
            <w:r>
              <w:rPr>
                <w:rFonts w:eastAsia="Times New Roman" w:cs="Calibri"/>
                <w:b/>
                <w:bCs/>
                <w:sz w:val="20"/>
                <w:szCs w:val="20"/>
                <w:lang w:eastAsia="en-AU"/>
              </w:rPr>
              <w:t>Full</w:t>
            </w:r>
          </w:p>
        </w:tc>
        <w:tc>
          <w:tcPr>
            <w:tcW w:w="992" w:type="dxa"/>
            <w:shd w:val="clear" w:color="auto" w:fill="auto"/>
            <w:noWrap/>
            <w:vAlign w:val="bottom"/>
            <w:hideMark/>
          </w:tcPr>
          <w:p w:rsidR="00311D63" w:rsidRPr="00DA4655" w:rsidRDefault="00311D63" w:rsidP="00D4677C">
            <w:pPr>
              <w:spacing w:before="120" w:after="120"/>
              <w:rPr>
                <w:rFonts w:eastAsia="Times New Roman" w:cs="Calibri"/>
                <w:b/>
                <w:bCs/>
                <w:sz w:val="20"/>
                <w:szCs w:val="20"/>
                <w:lang w:eastAsia="en-AU"/>
              </w:rPr>
            </w:pPr>
            <w:r w:rsidRPr="00DA4655">
              <w:rPr>
                <w:rFonts w:eastAsia="Times New Roman" w:cs="Calibri"/>
                <w:b/>
                <w:bCs/>
                <w:sz w:val="20"/>
                <w:szCs w:val="20"/>
                <w:lang w:eastAsia="en-AU"/>
              </w:rPr>
              <w:t>Partial</w:t>
            </w:r>
          </w:p>
        </w:tc>
        <w:tc>
          <w:tcPr>
            <w:tcW w:w="992" w:type="dxa"/>
            <w:shd w:val="clear" w:color="auto" w:fill="auto"/>
            <w:noWrap/>
            <w:vAlign w:val="bottom"/>
            <w:hideMark/>
          </w:tcPr>
          <w:p w:rsidR="00311D63" w:rsidRPr="00DA4655" w:rsidRDefault="00311D63" w:rsidP="00D4677C">
            <w:pPr>
              <w:spacing w:before="120" w:after="120"/>
              <w:rPr>
                <w:rFonts w:eastAsia="Times New Roman" w:cs="Calibri"/>
                <w:b/>
                <w:bCs/>
                <w:sz w:val="20"/>
                <w:szCs w:val="20"/>
                <w:lang w:eastAsia="en-AU"/>
              </w:rPr>
            </w:pPr>
            <w:r w:rsidRPr="00DA4655">
              <w:rPr>
                <w:rFonts w:eastAsia="Times New Roman" w:cs="Calibri"/>
                <w:b/>
                <w:bCs/>
                <w:sz w:val="20"/>
                <w:szCs w:val="20"/>
                <w:lang w:eastAsia="en-AU"/>
              </w:rPr>
              <w:t>Total</w:t>
            </w:r>
          </w:p>
        </w:tc>
        <w:tc>
          <w:tcPr>
            <w:tcW w:w="2445" w:type="dxa"/>
            <w:vMerge/>
            <w:vAlign w:val="center"/>
            <w:hideMark/>
          </w:tcPr>
          <w:p w:rsidR="00311D63" w:rsidRPr="00DA4655" w:rsidRDefault="00311D63" w:rsidP="00D4677C">
            <w:pPr>
              <w:spacing w:before="120" w:after="120"/>
              <w:rPr>
                <w:rFonts w:eastAsia="Times New Roman" w:cs="Calibri"/>
                <w:b/>
                <w:bCs/>
                <w:sz w:val="20"/>
                <w:szCs w:val="20"/>
                <w:lang w:eastAsia="en-AU"/>
              </w:rPr>
            </w:pPr>
          </w:p>
        </w:tc>
      </w:tr>
      <w:tr w:rsidR="00311D63" w:rsidRPr="00DA4655" w:rsidTr="00D4677C">
        <w:trPr>
          <w:trHeight w:val="340"/>
          <w:jc w:val="center"/>
        </w:trPr>
        <w:tc>
          <w:tcPr>
            <w:tcW w:w="823" w:type="dxa"/>
            <w:shd w:val="clear" w:color="auto" w:fill="auto"/>
            <w:noWrap/>
            <w:vAlign w:val="bottom"/>
            <w:hideMark/>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2007</w:t>
            </w:r>
          </w:p>
        </w:tc>
        <w:tc>
          <w:tcPr>
            <w:tcW w:w="1056" w:type="dxa"/>
            <w:shd w:val="clear" w:color="auto" w:fill="auto"/>
            <w:noWrap/>
            <w:vAlign w:val="bottom"/>
            <w:hideMark/>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1.75</w:t>
            </w:r>
          </w:p>
        </w:tc>
        <w:tc>
          <w:tcPr>
            <w:tcW w:w="992" w:type="dxa"/>
            <w:shd w:val="clear" w:color="auto" w:fill="auto"/>
            <w:noWrap/>
            <w:vAlign w:val="bottom"/>
            <w:hideMark/>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2.00</w:t>
            </w:r>
          </w:p>
        </w:tc>
        <w:tc>
          <w:tcPr>
            <w:tcW w:w="993" w:type="dxa"/>
            <w:shd w:val="clear" w:color="auto" w:fill="auto"/>
            <w:noWrap/>
            <w:vAlign w:val="bottom"/>
            <w:hideMark/>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1206</w:t>
            </w:r>
          </w:p>
        </w:tc>
        <w:tc>
          <w:tcPr>
            <w:tcW w:w="992" w:type="dxa"/>
            <w:shd w:val="clear" w:color="auto" w:fill="auto"/>
            <w:noWrap/>
            <w:vAlign w:val="bottom"/>
            <w:hideMark/>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497</w:t>
            </w:r>
          </w:p>
        </w:tc>
        <w:tc>
          <w:tcPr>
            <w:tcW w:w="992" w:type="dxa"/>
            <w:shd w:val="clear" w:color="auto" w:fill="auto"/>
            <w:noWrap/>
            <w:vAlign w:val="bottom"/>
            <w:hideMark/>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1703</w:t>
            </w:r>
          </w:p>
        </w:tc>
        <w:tc>
          <w:tcPr>
            <w:tcW w:w="2445" w:type="dxa"/>
            <w:shd w:val="clear" w:color="auto" w:fill="auto"/>
            <w:noWrap/>
            <w:vAlign w:val="bottom"/>
            <w:hideMark/>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56.9%</w:t>
            </w:r>
          </w:p>
        </w:tc>
      </w:tr>
      <w:tr w:rsidR="00311D63" w:rsidRPr="00DA4655" w:rsidTr="00D4677C">
        <w:trPr>
          <w:trHeight w:val="233"/>
          <w:jc w:val="center"/>
        </w:trPr>
        <w:tc>
          <w:tcPr>
            <w:tcW w:w="823"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2008</w:t>
            </w:r>
          </w:p>
        </w:tc>
        <w:tc>
          <w:tcPr>
            <w:tcW w:w="1056"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1.75</w:t>
            </w:r>
          </w:p>
        </w:tc>
        <w:tc>
          <w:tcPr>
            <w:tcW w:w="992"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2.00</w:t>
            </w:r>
          </w:p>
        </w:tc>
        <w:tc>
          <w:tcPr>
            <w:tcW w:w="993"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1448</w:t>
            </w:r>
          </w:p>
        </w:tc>
        <w:tc>
          <w:tcPr>
            <w:tcW w:w="992"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350</w:t>
            </w:r>
          </w:p>
        </w:tc>
        <w:tc>
          <w:tcPr>
            <w:tcW w:w="992"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1798</w:t>
            </w:r>
          </w:p>
        </w:tc>
        <w:tc>
          <w:tcPr>
            <w:tcW w:w="2445"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55.9%</w:t>
            </w:r>
          </w:p>
        </w:tc>
      </w:tr>
      <w:tr w:rsidR="00311D63" w:rsidRPr="00DA4655" w:rsidTr="00D4677C">
        <w:trPr>
          <w:trHeight w:val="340"/>
          <w:jc w:val="center"/>
        </w:trPr>
        <w:tc>
          <w:tcPr>
            <w:tcW w:w="823"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2009</w:t>
            </w:r>
          </w:p>
        </w:tc>
        <w:tc>
          <w:tcPr>
            <w:tcW w:w="1056"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1.50</w:t>
            </w:r>
          </w:p>
        </w:tc>
        <w:tc>
          <w:tcPr>
            <w:tcW w:w="992"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1.75</w:t>
            </w:r>
          </w:p>
        </w:tc>
        <w:tc>
          <w:tcPr>
            <w:tcW w:w="993"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1212</w:t>
            </w:r>
          </w:p>
        </w:tc>
        <w:tc>
          <w:tcPr>
            <w:tcW w:w="992"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383</w:t>
            </w:r>
          </w:p>
        </w:tc>
        <w:tc>
          <w:tcPr>
            <w:tcW w:w="992"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1595</w:t>
            </w:r>
          </w:p>
        </w:tc>
        <w:tc>
          <w:tcPr>
            <w:tcW w:w="2445"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48.3%</w:t>
            </w:r>
          </w:p>
        </w:tc>
      </w:tr>
      <w:tr w:rsidR="00311D63" w:rsidRPr="00DA4655" w:rsidTr="00D4677C">
        <w:trPr>
          <w:trHeight w:val="340"/>
          <w:jc w:val="center"/>
        </w:trPr>
        <w:tc>
          <w:tcPr>
            <w:tcW w:w="823"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2010</w:t>
            </w:r>
          </w:p>
        </w:tc>
        <w:tc>
          <w:tcPr>
            <w:tcW w:w="1056"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1.50</w:t>
            </w:r>
          </w:p>
        </w:tc>
        <w:tc>
          <w:tcPr>
            <w:tcW w:w="992"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1.75</w:t>
            </w:r>
          </w:p>
        </w:tc>
        <w:tc>
          <w:tcPr>
            <w:tcW w:w="993"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1357</w:t>
            </w:r>
          </w:p>
        </w:tc>
        <w:tc>
          <w:tcPr>
            <w:tcW w:w="992"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378</w:t>
            </w:r>
          </w:p>
        </w:tc>
        <w:tc>
          <w:tcPr>
            <w:tcW w:w="992"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1735</w:t>
            </w:r>
          </w:p>
        </w:tc>
        <w:tc>
          <w:tcPr>
            <w:tcW w:w="2445"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50.1%</w:t>
            </w:r>
          </w:p>
        </w:tc>
      </w:tr>
      <w:tr w:rsidR="00311D63" w:rsidRPr="00DA4655" w:rsidTr="00D4677C">
        <w:trPr>
          <w:trHeight w:val="340"/>
          <w:jc w:val="center"/>
        </w:trPr>
        <w:tc>
          <w:tcPr>
            <w:tcW w:w="823"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2011</w:t>
            </w:r>
          </w:p>
        </w:tc>
        <w:tc>
          <w:tcPr>
            <w:tcW w:w="1056"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1.75</w:t>
            </w:r>
          </w:p>
        </w:tc>
        <w:tc>
          <w:tcPr>
            <w:tcW w:w="992"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2.00</w:t>
            </w:r>
          </w:p>
        </w:tc>
        <w:tc>
          <w:tcPr>
            <w:tcW w:w="993"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1695</w:t>
            </w:r>
          </w:p>
        </w:tc>
        <w:tc>
          <w:tcPr>
            <w:tcW w:w="992"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315</w:t>
            </w:r>
          </w:p>
        </w:tc>
        <w:tc>
          <w:tcPr>
            <w:tcW w:w="992"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2010</w:t>
            </w:r>
          </w:p>
        </w:tc>
        <w:tc>
          <w:tcPr>
            <w:tcW w:w="2445"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55.1%</w:t>
            </w:r>
          </w:p>
        </w:tc>
      </w:tr>
      <w:tr w:rsidR="00311D63" w:rsidRPr="00DA4655" w:rsidTr="00D4677C">
        <w:trPr>
          <w:trHeight w:val="340"/>
          <w:jc w:val="center"/>
        </w:trPr>
        <w:tc>
          <w:tcPr>
            <w:tcW w:w="823"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2012*</w:t>
            </w:r>
          </w:p>
        </w:tc>
        <w:tc>
          <w:tcPr>
            <w:tcW w:w="1056"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2.25</w:t>
            </w:r>
          </w:p>
        </w:tc>
        <w:tc>
          <w:tcPr>
            <w:tcW w:w="992"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2.50</w:t>
            </w:r>
          </w:p>
        </w:tc>
        <w:tc>
          <w:tcPr>
            <w:tcW w:w="993"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2023</w:t>
            </w:r>
          </w:p>
        </w:tc>
        <w:tc>
          <w:tcPr>
            <w:tcW w:w="992"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272</w:t>
            </w:r>
          </w:p>
        </w:tc>
        <w:tc>
          <w:tcPr>
            <w:tcW w:w="992"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2295</w:t>
            </w:r>
          </w:p>
        </w:tc>
        <w:tc>
          <w:tcPr>
            <w:tcW w:w="2445" w:type="dxa"/>
            <w:shd w:val="clear" w:color="auto" w:fill="auto"/>
            <w:noWrap/>
            <w:vAlign w:val="bottom"/>
          </w:tcPr>
          <w:p w:rsidR="00311D63" w:rsidRPr="00DA4655" w:rsidRDefault="00311D63" w:rsidP="00D4677C">
            <w:pPr>
              <w:spacing w:before="120" w:after="120"/>
              <w:rPr>
                <w:rFonts w:eastAsia="Times New Roman" w:cs="Calibri"/>
                <w:sz w:val="20"/>
                <w:szCs w:val="20"/>
                <w:lang w:eastAsia="en-AU"/>
              </w:rPr>
            </w:pPr>
            <w:r w:rsidRPr="00DA4655">
              <w:rPr>
                <w:rFonts w:eastAsia="Times New Roman" w:cs="Calibri"/>
                <w:sz w:val="20"/>
                <w:szCs w:val="20"/>
                <w:lang w:eastAsia="en-AU"/>
              </w:rPr>
              <w:t>60.2%</w:t>
            </w:r>
          </w:p>
        </w:tc>
      </w:tr>
    </w:tbl>
    <w:p w:rsidR="00762C36" w:rsidRPr="0069696E" w:rsidRDefault="00762C36" w:rsidP="00762C36">
      <w:pPr>
        <w:spacing w:before="120" w:after="120"/>
        <w:ind w:left="567"/>
        <w:rPr>
          <w:rFonts w:eastAsia="Times New Roman" w:cs="Calibri"/>
          <w:sz w:val="16"/>
          <w:szCs w:val="16"/>
          <w:lang w:eastAsia="en-AU"/>
        </w:rPr>
      </w:pPr>
      <w:r w:rsidRPr="00762C36">
        <w:rPr>
          <w:rFonts w:eastAsia="Times New Roman" w:cs="Calibri"/>
          <w:i/>
          <w:sz w:val="20"/>
          <w:szCs w:val="20"/>
          <w:lang w:eastAsia="en-AU"/>
        </w:rPr>
        <w:t>*2012 data is based on the 2011 August Census</w:t>
      </w:r>
      <w:r>
        <w:rPr>
          <w:rFonts w:eastAsia="Times New Roman" w:cs="Calibri"/>
          <w:sz w:val="20"/>
          <w:szCs w:val="20"/>
          <w:lang w:eastAsia="en-AU"/>
        </w:rPr>
        <w:br/>
      </w:r>
    </w:p>
    <w:p w:rsidR="00311D63" w:rsidRPr="00311D63" w:rsidRDefault="00311D63" w:rsidP="00504B61">
      <w:pPr>
        <w:spacing w:before="120" w:after="120"/>
      </w:pPr>
      <w:r w:rsidRPr="00DA4655">
        <w:t>Over the last two years</w:t>
      </w:r>
      <w:r w:rsidR="00CD7DE5">
        <w:t>,</w:t>
      </w:r>
      <w:r w:rsidRPr="00DA4655">
        <w:t xml:space="preserve"> through a reallocation of existing resou</w:t>
      </w:r>
      <w:r>
        <w:t>rces within the Directorate</w:t>
      </w:r>
      <w:r w:rsidR="00CD7DE5">
        <w:t>,</w:t>
      </w:r>
      <w:r>
        <w:t xml:space="preserve"> the percentage of eligible students</w:t>
      </w:r>
      <w:r w:rsidRPr="00DA4655">
        <w:t xml:space="preserve"> </w:t>
      </w:r>
      <w:r w:rsidR="0030553F">
        <w:t>who attracted funding</w:t>
      </w:r>
      <w:r>
        <w:t xml:space="preserve"> </w:t>
      </w:r>
      <w:r w:rsidRPr="00DA4655">
        <w:t xml:space="preserve">rose to 55% </w:t>
      </w:r>
      <w:r>
        <w:t xml:space="preserve">in 2011 </w:t>
      </w:r>
      <w:r w:rsidRPr="00DA4655">
        <w:t>and for 2012</w:t>
      </w:r>
      <w:r w:rsidR="00561E1B">
        <w:t>,</w:t>
      </w:r>
      <w:r w:rsidRPr="00DA4655">
        <w:t xml:space="preserve"> 60% of eligible students in </w:t>
      </w:r>
      <w:r w:rsidR="0030553F">
        <w:t>mainstream settings will attract</w:t>
      </w:r>
      <w:r w:rsidRPr="00DA4655">
        <w:t xml:space="preserve"> additional support. </w:t>
      </w:r>
      <w:r>
        <w:t xml:space="preserve">The </w:t>
      </w:r>
      <w:r w:rsidRPr="00DA4655">
        <w:t xml:space="preserve">additional resourcing </w:t>
      </w:r>
      <w:r>
        <w:t xml:space="preserve">in 2012 </w:t>
      </w:r>
      <w:r w:rsidRPr="00DA4655">
        <w:t>has resulted in</w:t>
      </w:r>
      <w:r>
        <w:t xml:space="preserve"> an LPR cut-off for full funding of 2.25</w:t>
      </w:r>
      <w:r w:rsidR="00561E1B">
        <w:t>,</w:t>
      </w:r>
      <w:r>
        <w:t xml:space="preserve"> which has not been applied since 2004 when the EALD enrolments were 8.6% of the total enrolments.</w:t>
      </w:r>
    </w:p>
    <w:p w:rsidR="00ED6AF6" w:rsidRDefault="00ED6AF6" w:rsidP="00504B61">
      <w:pPr>
        <w:spacing w:before="120" w:after="120"/>
        <w:rPr>
          <w:rFonts w:cs="Calibri"/>
        </w:rPr>
      </w:pPr>
      <w:r w:rsidRPr="00DA4655">
        <w:rPr>
          <w:rFonts w:cs="Calibri"/>
        </w:rPr>
        <w:t xml:space="preserve">The </w:t>
      </w:r>
      <w:r w:rsidRPr="002A2B6A">
        <w:rPr>
          <w:rFonts w:cs="Calibri"/>
          <w:i/>
        </w:rPr>
        <w:t xml:space="preserve">EALD Census </w:t>
      </w:r>
      <w:r w:rsidRPr="008A2653">
        <w:rPr>
          <w:rFonts w:cs="Calibri"/>
          <w:i/>
        </w:rPr>
        <w:t>Online</w:t>
      </w:r>
      <w:r w:rsidR="008A2653" w:rsidRPr="008A2653">
        <w:rPr>
          <w:rFonts w:cs="Calibri"/>
          <w:i/>
        </w:rPr>
        <w:t xml:space="preserve"> P</w:t>
      </w:r>
      <w:r w:rsidRPr="008A2653">
        <w:rPr>
          <w:rFonts w:cs="Calibri"/>
          <w:i/>
        </w:rPr>
        <w:t>rogram</w:t>
      </w:r>
      <w:r w:rsidRPr="00DA4655">
        <w:rPr>
          <w:rFonts w:cs="Calibri"/>
        </w:rPr>
        <w:t xml:space="preserve"> distributes the total system allocation</w:t>
      </w:r>
      <w:r w:rsidR="00B21185">
        <w:rPr>
          <w:rFonts w:cs="Calibri"/>
        </w:rPr>
        <w:t>.</w:t>
      </w:r>
      <w:r w:rsidRPr="00DA4655">
        <w:rPr>
          <w:rFonts w:cs="Calibri"/>
        </w:rPr>
        <w:t xml:space="preserve"> </w:t>
      </w:r>
      <w:r w:rsidR="00B21185">
        <w:rPr>
          <w:rFonts w:cs="Calibri"/>
        </w:rPr>
        <w:t>It</w:t>
      </w:r>
      <w:r w:rsidRPr="00DA4655">
        <w:rPr>
          <w:rFonts w:cs="Calibri"/>
        </w:rPr>
        <w:t xml:space="preserve"> is designed to distribute the allocation</w:t>
      </w:r>
      <w:r w:rsidR="00B21185">
        <w:rPr>
          <w:rFonts w:cs="Calibri"/>
        </w:rPr>
        <w:t>,</w:t>
      </w:r>
      <w:r w:rsidRPr="00DA4655">
        <w:rPr>
          <w:rFonts w:cs="Calibri"/>
        </w:rPr>
        <w:t xml:space="preserve"> starting at the lowest Language Performance Ratings (LPR), with a minimum of one day’s staffing allocation to each school with eligible EALD students within the budget cut-off point for funding.  </w:t>
      </w:r>
      <w:r w:rsidR="00B80992">
        <w:rPr>
          <w:rFonts w:cs="Calibri"/>
        </w:rPr>
        <w:t>This cut-off point is described using a LPR level and funded stud</w:t>
      </w:r>
      <w:r w:rsidR="007564FF">
        <w:rPr>
          <w:rFonts w:cs="Calibri"/>
        </w:rPr>
        <w:t>ents are referred to as ”full” or “partial” funded</w:t>
      </w:r>
      <w:r w:rsidR="00984FAD">
        <w:rPr>
          <w:rFonts w:cs="Calibri"/>
        </w:rPr>
        <w:t xml:space="preserve"> </w:t>
      </w:r>
      <w:r w:rsidR="00F70AF9" w:rsidRPr="00F70AF9">
        <w:rPr>
          <w:rFonts w:cs="Calibri"/>
        </w:rPr>
        <w:t xml:space="preserve">(Table </w:t>
      </w:r>
      <w:r w:rsidR="00BA79A2">
        <w:rPr>
          <w:rFonts w:cs="Calibri"/>
        </w:rPr>
        <w:t>5</w:t>
      </w:r>
      <w:r w:rsidR="00623992" w:rsidRPr="00F70AF9">
        <w:rPr>
          <w:rFonts w:cs="Calibri"/>
        </w:rPr>
        <w:t>)</w:t>
      </w:r>
      <w:r w:rsidR="006851C0">
        <w:rPr>
          <w:rFonts w:cs="Calibri"/>
        </w:rPr>
        <w:t>.</w:t>
      </w:r>
    </w:p>
    <w:p w:rsidR="0030553F" w:rsidRPr="00DA4655" w:rsidRDefault="0030553F" w:rsidP="00504B61">
      <w:pPr>
        <w:spacing w:before="120" w:after="120"/>
        <w:rPr>
          <w:rFonts w:cs="Calibri"/>
        </w:rPr>
      </w:pPr>
      <w:r>
        <w:rPr>
          <w:rFonts w:cs="Calibri"/>
        </w:rPr>
        <w:t>EALD identified students in mainstream school</w:t>
      </w:r>
      <w:r w:rsidR="00984FAD">
        <w:rPr>
          <w:rFonts w:cs="Calibri"/>
        </w:rPr>
        <w:t>s</w:t>
      </w:r>
      <w:r>
        <w:rPr>
          <w:rFonts w:cs="Calibri"/>
        </w:rPr>
        <w:t xml:space="preserve"> who </w:t>
      </w:r>
      <w:r w:rsidR="00984FAD">
        <w:rPr>
          <w:rFonts w:cs="Calibri"/>
        </w:rPr>
        <w:t>do not attract targeted funding</w:t>
      </w:r>
      <w:r>
        <w:rPr>
          <w:rFonts w:cs="Calibri"/>
        </w:rPr>
        <w:t xml:space="preserve"> have their language needs met through the collaborative support provided by the school’s </w:t>
      </w:r>
      <w:r w:rsidR="00984FAD">
        <w:rPr>
          <w:rFonts w:cs="Calibri"/>
        </w:rPr>
        <w:t xml:space="preserve">EALD teacher, </w:t>
      </w:r>
      <w:r>
        <w:rPr>
          <w:rFonts w:cs="Calibri"/>
        </w:rPr>
        <w:t>literacy coordinator, fi</w:t>
      </w:r>
      <w:r w:rsidR="00984FAD">
        <w:rPr>
          <w:rFonts w:cs="Calibri"/>
        </w:rPr>
        <w:t>el</w:t>
      </w:r>
      <w:r>
        <w:rPr>
          <w:rFonts w:cs="Calibri"/>
        </w:rPr>
        <w:t>d officer and</w:t>
      </w:r>
      <w:r w:rsidR="00FF6495">
        <w:rPr>
          <w:rFonts w:cs="Calibri"/>
        </w:rPr>
        <w:t xml:space="preserve"> other identified staff in conjunction with the classroom teacher</w:t>
      </w:r>
      <w:r>
        <w:rPr>
          <w:rFonts w:cs="Calibri"/>
        </w:rPr>
        <w:t>.</w:t>
      </w:r>
    </w:p>
    <w:p w:rsidR="00ED6AF6" w:rsidRPr="00BE7EEA" w:rsidRDefault="00ED6AF6" w:rsidP="00504B61">
      <w:pPr>
        <w:spacing w:before="120" w:after="120"/>
        <w:rPr>
          <w:rFonts w:cs="Calibri"/>
        </w:rPr>
      </w:pPr>
      <w:r w:rsidRPr="00DA4655">
        <w:rPr>
          <w:rFonts w:cs="Calibri"/>
        </w:rPr>
        <w:t>A staffing allocation is made to the identified mainstream school for students enrolled at the</w:t>
      </w:r>
      <w:r w:rsidR="00DB0C61">
        <w:rPr>
          <w:rFonts w:cs="Calibri"/>
        </w:rPr>
        <w:t xml:space="preserve"> IECs, </w:t>
      </w:r>
      <w:r w:rsidRPr="00DA4655">
        <w:rPr>
          <w:rFonts w:cs="Calibri"/>
        </w:rPr>
        <w:t xml:space="preserve">in anticipation of their transfer into the mainstream school later in the </w:t>
      </w:r>
      <w:r w:rsidRPr="00BE7EEA">
        <w:rPr>
          <w:rFonts w:cs="Calibri"/>
        </w:rPr>
        <w:t>year.</w:t>
      </w:r>
    </w:p>
    <w:p w:rsidR="008F191D" w:rsidRPr="0069696E" w:rsidRDefault="0030553F" w:rsidP="00C13B7C">
      <w:pPr>
        <w:pStyle w:val="Heading2"/>
      </w:pPr>
      <w:bookmarkStart w:id="92" w:name="_Toc321213919"/>
      <w:bookmarkStart w:id="93" w:name="_Toc321224513"/>
      <w:bookmarkStart w:id="94" w:name="_Toc322080324"/>
      <w:bookmarkStart w:id="95" w:name="_Toc322083120"/>
      <w:r>
        <w:t>4</w:t>
      </w:r>
      <w:r w:rsidR="005E5DB6" w:rsidRPr="0069696E">
        <w:t xml:space="preserve">.4 </w:t>
      </w:r>
      <w:bookmarkEnd w:id="92"/>
      <w:bookmarkEnd w:id="93"/>
      <w:r>
        <w:t>Staffing Positions Central Office</w:t>
      </w:r>
      <w:bookmarkEnd w:id="94"/>
      <w:bookmarkEnd w:id="95"/>
    </w:p>
    <w:p w:rsidR="00C15FF6" w:rsidRPr="0069696E" w:rsidRDefault="00CD5DDB" w:rsidP="00D964F0">
      <w:r w:rsidRPr="0069696E">
        <w:t xml:space="preserve">In implementing its focus on developing expertise at the school level, the ACT Education and Training Directorate </w:t>
      </w:r>
      <w:proofErr w:type="gramStart"/>
      <w:r w:rsidRPr="0069696E">
        <w:t>has</w:t>
      </w:r>
      <w:proofErr w:type="gramEnd"/>
      <w:r w:rsidRPr="0069696E">
        <w:t xml:space="preserve"> realigned its central office resources</w:t>
      </w:r>
      <w:r w:rsidR="00026349" w:rsidRPr="0069696E">
        <w:t>,</w:t>
      </w:r>
      <w:r w:rsidRPr="0069696E">
        <w:t xml:space="preserve"> enabling greater resourcing at the school level.</w:t>
      </w:r>
      <w:r w:rsidR="00BE7EEA" w:rsidRPr="0069696E">
        <w:t xml:space="preserve"> There has been no reduction in ESL</w:t>
      </w:r>
      <w:r w:rsidR="002A2B6A" w:rsidRPr="0069696E">
        <w:t xml:space="preserve">/EALD </w:t>
      </w:r>
      <w:r w:rsidR="00BE7EEA" w:rsidRPr="0069696E">
        <w:t>funding with</w:t>
      </w:r>
      <w:r w:rsidR="002A2B6A" w:rsidRPr="0069696E">
        <w:t xml:space="preserve"> resources moving from Central O</w:t>
      </w:r>
      <w:r w:rsidR="00BE7EEA" w:rsidRPr="0069696E">
        <w:t>ffice into the schools allocation.</w:t>
      </w:r>
      <w:r w:rsidR="002A49B2" w:rsidRPr="0069696E">
        <w:br/>
      </w:r>
    </w:p>
    <w:p w:rsidR="00925B9E" w:rsidRPr="0069696E" w:rsidRDefault="0030553F" w:rsidP="00C13B7C">
      <w:pPr>
        <w:pStyle w:val="Heading2"/>
      </w:pPr>
      <w:bookmarkStart w:id="96" w:name="_Toc321213920"/>
      <w:bookmarkStart w:id="97" w:name="_Toc321224514"/>
      <w:bookmarkStart w:id="98" w:name="_Toc322080325"/>
      <w:bookmarkStart w:id="99" w:name="_Toc322083121"/>
      <w:r>
        <w:t>4</w:t>
      </w:r>
      <w:r w:rsidR="005E5DB6" w:rsidRPr="0069696E">
        <w:t xml:space="preserve">.5 </w:t>
      </w:r>
      <w:r w:rsidR="00925B9E" w:rsidRPr="0069696E">
        <w:t>S</w:t>
      </w:r>
      <w:bookmarkEnd w:id="96"/>
      <w:bookmarkEnd w:id="97"/>
      <w:r>
        <w:t>takeholder Consultation</w:t>
      </w:r>
      <w:bookmarkEnd w:id="98"/>
      <w:bookmarkEnd w:id="99"/>
    </w:p>
    <w:p w:rsidR="003A5420" w:rsidRDefault="00F712AE" w:rsidP="00504B61">
      <w:pPr>
        <w:spacing w:before="120" w:after="120"/>
      </w:pPr>
      <w:r>
        <w:t>Stakeholders</w:t>
      </w:r>
      <w:r w:rsidR="003A5420" w:rsidRPr="00DA4655">
        <w:t xml:space="preserve"> identified key strengths of the current </w:t>
      </w:r>
      <w:r w:rsidR="003A5420">
        <w:t>resourcing model</w:t>
      </w:r>
      <w:r w:rsidR="00026349">
        <w:t>,</w:t>
      </w:r>
      <w:r w:rsidR="003A5420">
        <w:t xml:space="preserve"> </w:t>
      </w:r>
      <w:r w:rsidR="003A5420" w:rsidRPr="00DA4655">
        <w:t>including:</w:t>
      </w:r>
    </w:p>
    <w:p w:rsidR="00F712AE" w:rsidRPr="00DA4655" w:rsidRDefault="002A49B2" w:rsidP="008F35EE">
      <w:pPr>
        <w:numPr>
          <w:ilvl w:val="0"/>
          <w:numId w:val="9"/>
        </w:numPr>
        <w:spacing w:before="120" w:after="120"/>
      </w:pPr>
      <w:proofErr w:type="gramStart"/>
      <w:r>
        <w:t>t</w:t>
      </w:r>
      <w:r w:rsidR="00F712AE" w:rsidRPr="00DA4655">
        <w:t>he</w:t>
      </w:r>
      <w:proofErr w:type="gramEnd"/>
      <w:r w:rsidR="00F712AE" w:rsidRPr="00DA4655">
        <w:t xml:space="preserve"> allocation of system resources to EALD students through specific Introductory English Centres and staffing points to mainstream setting</w:t>
      </w:r>
      <w:r w:rsidR="00F712AE">
        <w:t>s</w:t>
      </w:r>
      <w:r w:rsidR="0083619B">
        <w:t>, in particular the staffing of students in IECs at their home school in anticipation of their transfer.</w:t>
      </w:r>
      <w:r>
        <w:br/>
      </w:r>
    </w:p>
    <w:p w:rsidR="00F712AE" w:rsidRDefault="00F712AE" w:rsidP="00504B61">
      <w:pPr>
        <w:spacing w:before="120" w:after="120"/>
      </w:pPr>
      <w:r>
        <w:t xml:space="preserve">Stakeholders </w:t>
      </w:r>
      <w:r w:rsidR="00C15FF6">
        <w:t xml:space="preserve">indicated their perception that more funding was required to support EALD students </w:t>
      </w:r>
      <w:r w:rsidRPr="00DA4655">
        <w:t>as being the most significant issue</w:t>
      </w:r>
      <w:r w:rsidR="00C15FF6">
        <w:t>. They also indicated</w:t>
      </w:r>
      <w:r>
        <w:t>:</w:t>
      </w:r>
    </w:p>
    <w:p w:rsidR="002A49B2" w:rsidRDefault="002A49B2" w:rsidP="008F35EE">
      <w:pPr>
        <w:numPr>
          <w:ilvl w:val="0"/>
          <w:numId w:val="9"/>
        </w:numPr>
        <w:spacing w:before="120" w:after="120"/>
      </w:pPr>
      <w:r>
        <w:t>a</w:t>
      </w:r>
      <w:r w:rsidR="00F712AE">
        <w:t xml:space="preserve"> need for i</w:t>
      </w:r>
      <w:r w:rsidR="00C15FF6">
        <w:t>ncreased use of</w:t>
      </w:r>
      <w:r w:rsidR="00F712AE" w:rsidRPr="00DA4655">
        <w:t xml:space="preserve"> interpreter</w:t>
      </w:r>
      <w:r>
        <w:t>s</w:t>
      </w:r>
    </w:p>
    <w:p w:rsidR="008F191D" w:rsidRPr="00D964F0" w:rsidRDefault="00F712AE" w:rsidP="008F35EE">
      <w:pPr>
        <w:numPr>
          <w:ilvl w:val="0"/>
          <w:numId w:val="9"/>
        </w:numPr>
        <w:spacing w:before="120" w:after="120"/>
      </w:pPr>
      <w:proofErr w:type="gramStart"/>
      <w:r w:rsidRPr="00DA4655">
        <w:t>concern</w:t>
      </w:r>
      <w:proofErr w:type="gramEnd"/>
      <w:r w:rsidRPr="00DA4655">
        <w:t xml:space="preserve"> that with a move to school </w:t>
      </w:r>
      <w:r w:rsidR="0030553F">
        <w:t>empowerment EALD students may</w:t>
      </w:r>
      <w:r w:rsidRPr="00DA4655">
        <w:t xml:space="preserve"> not be properly supported as funds may be directed to other programs</w:t>
      </w:r>
      <w:r w:rsidR="0083619B">
        <w:t>.</w:t>
      </w:r>
      <w:r w:rsidR="002A49B2">
        <w:br/>
      </w:r>
    </w:p>
    <w:p w:rsidR="00925B9E" w:rsidRPr="00617178" w:rsidRDefault="0030553F" w:rsidP="00C13B7C">
      <w:pPr>
        <w:pStyle w:val="Heading2"/>
      </w:pPr>
      <w:bookmarkStart w:id="100" w:name="_Toc322080326"/>
      <w:bookmarkStart w:id="101" w:name="_Toc322083122"/>
      <w:r>
        <w:t>4</w:t>
      </w:r>
      <w:r w:rsidR="005E5DB6" w:rsidRPr="00617178">
        <w:t xml:space="preserve">.6 </w:t>
      </w:r>
      <w:r w:rsidR="00925B9E" w:rsidRPr="00617178">
        <w:t>F</w:t>
      </w:r>
      <w:r>
        <w:t>indings</w:t>
      </w:r>
      <w:bookmarkEnd w:id="100"/>
      <w:bookmarkEnd w:id="101"/>
    </w:p>
    <w:p w:rsidR="00925B9E" w:rsidRDefault="0052130D" w:rsidP="00504B61">
      <w:pPr>
        <w:spacing w:before="120" w:after="120"/>
      </w:pPr>
      <w:r>
        <w:t xml:space="preserve">The Review identified </w:t>
      </w:r>
      <w:r w:rsidR="00925B9E" w:rsidRPr="00DA4655">
        <w:t>the following findings:</w:t>
      </w:r>
    </w:p>
    <w:p w:rsidR="004404EF" w:rsidRPr="00DA4655" w:rsidRDefault="004404EF" w:rsidP="008F35EE">
      <w:pPr>
        <w:numPr>
          <w:ilvl w:val="0"/>
          <w:numId w:val="30"/>
        </w:numPr>
        <w:spacing w:before="120" w:after="120"/>
      </w:pPr>
      <w:bookmarkStart w:id="102" w:name="_Toc318314407"/>
      <w:bookmarkStart w:id="103" w:name="_Toc318314423"/>
      <w:bookmarkStart w:id="104" w:name="_Toc318813927"/>
      <w:bookmarkStart w:id="105" w:name="_Toc318816210"/>
      <w:bookmarkStart w:id="106" w:name="_Toc318816238"/>
      <w:bookmarkStart w:id="107" w:name="_Toc320010936"/>
      <w:r w:rsidRPr="00DA4655">
        <w:t>Over the last two years</w:t>
      </w:r>
      <w:r w:rsidR="00603063">
        <w:t>,</w:t>
      </w:r>
      <w:r w:rsidRPr="00DA4655">
        <w:t xml:space="preserve"> there has been a reallocation of resources within the Directorate, resulting in an increase in the number of EALD students receiving support</w:t>
      </w:r>
      <w:r w:rsidR="00050F55">
        <w:t>, and an increase in the percentage of eligible students receiving support</w:t>
      </w:r>
      <w:r w:rsidRPr="00DA4655">
        <w:t>.</w:t>
      </w:r>
    </w:p>
    <w:p w:rsidR="002D3AD3" w:rsidRPr="00DA4655" w:rsidRDefault="002D3AD3" w:rsidP="002D3AD3">
      <w:pPr>
        <w:numPr>
          <w:ilvl w:val="0"/>
          <w:numId w:val="30"/>
        </w:numPr>
        <w:spacing w:before="120" w:after="120"/>
      </w:pPr>
      <w:r>
        <w:t>Funding for EALD students increased progressively over the past five years. Adjustments to funding are considered through the ACT Government Budget processes.</w:t>
      </w:r>
    </w:p>
    <w:p w:rsidR="005A1708" w:rsidRPr="00D964F0" w:rsidRDefault="005A1708" w:rsidP="00D964F0"/>
    <w:p w:rsidR="00C976A5" w:rsidRPr="00804E34" w:rsidRDefault="001E4908" w:rsidP="00C13B7C">
      <w:pPr>
        <w:pStyle w:val="Heading2"/>
      </w:pPr>
      <w:r w:rsidRPr="00D964F0">
        <w:br w:type="page"/>
      </w:r>
      <w:bookmarkStart w:id="108" w:name="_Toc322083123"/>
      <w:r w:rsidR="0030553F">
        <w:t>5</w:t>
      </w:r>
      <w:r w:rsidR="005E5DB6" w:rsidRPr="00D964F0">
        <w:t xml:space="preserve">. </w:t>
      </w:r>
      <w:r w:rsidR="00FC7801" w:rsidRPr="00D964F0">
        <w:t>CONCLUSION</w:t>
      </w:r>
      <w:bookmarkEnd w:id="108"/>
    </w:p>
    <w:p w:rsidR="007F09B3" w:rsidRPr="00D964F0" w:rsidRDefault="00164178" w:rsidP="00D964F0">
      <w:r w:rsidRPr="00D964F0">
        <w:t>The findings in this report are supported by the analysis of Directorate data and verifica</w:t>
      </w:r>
      <w:r w:rsidR="001D1EEB">
        <w:t>tion from relevant Directorate s</w:t>
      </w:r>
      <w:r w:rsidRPr="00D964F0">
        <w:t>ections and feedback provided by the range of stakeh</w:t>
      </w:r>
      <w:r w:rsidR="003B5C83" w:rsidRPr="00D964F0">
        <w:t>olders at both the Stakeholder F</w:t>
      </w:r>
      <w:r w:rsidRPr="00D964F0">
        <w:t xml:space="preserve">orum and </w:t>
      </w:r>
      <w:r w:rsidR="00155943" w:rsidRPr="00D964F0">
        <w:t xml:space="preserve">through </w:t>
      </w:r>
      <w:r w:rsidRPr="00D964F0">
        <w:t xml:space="preserve">the submissions received. A number of the findings recognise the </w:t>
      </w:r>
      <w:r w:rsidR="00155943" w:rsidRPr="00D964F0">
        <w:t>support currently provided</w:t>
      </w:r>
      <w:r w:rsidR="003B5C83" w:rsidRPr="00D964F0">
        <w:t xml:space="preserve"> for EALD programs. They also recognise</w:t>
      </w:r>
      <w:r w:rsidR="00155943" w:rsidRPr="00D964F0">
        <w:t xml:space="preserve"> the changing </w:t>
      </w:r>
      <w:r w:rsidR="003B5C83" w:rsidRPr="00D964F0">
        <w:t xml:space="preserve">EALD </w:t>
      </w:r>
      <w:r w:rsidR="00155943" w:rsidRPr="00D964F0">
        <w:t>demographic with increased needs</w:t>
      </w:r>
      <w:r w:rsidR="004D72B7" w:rsidRPr="00D964F0">
        <w:t xml:space="preserve"> </w:t>
      </w:r>
      <w:bookmarkEnd w:id="102"/>
      <w:bookmarkEnd w:id="103"/>
      <w:bookmarkEnd w:id="104"/>
      <w:bookmarkEnd w:id="105"/>
      <w:bookmarkEnd w:id="106"/>
      <w:bookmarkEnd w:id="107"/>
      <w:r w:rsidR="004D72B7" w:rsidRPr="00D964F0">
        <w:t>and the capacity of the current model to meet these needs.</w:t>
      </w:r>
    </w:p>
    <w:p w:rsidR="00CF4607" w:rsidRPr="00617178" w:rsidRDefault="00CF3935" w:rsidP="00C13B7C">
      <w:pPr>
        <w:pStyle w:val="Heading2"/>
      </w:pPr>
      <w:r>
        <w:br/>
      </w:r>
      <w:bookmarkStart w:id="109" w:name="_Toc322083124"/>
      <w:r w:rsidR="00CF4607">
        <w:t>5.1</w:t>
      </w:r>
      <w:r w:rsidR="00CF4607" w:rsidRPr="00617178">
        <w:t xml:space="preserve"> </w:t>
      </w:r>
      <w:r w:rsidR="00CF4607">
        <w:t xml:space="preserve">Review </w:t>
      </w:r>
      <w:r w:rsidR="00CF4607" w:rsidRPr="00617178">
        <w:t>F</w:t>
      </w:r>
      <w:r w:rsidR="00CF4607">
        <w:t>indings</w:t>
      </w:r>
      <w:bookmarkEnd w:id="109"/>
    </w:p>
    <w:p w:rsidR="00722714" w:rsidRPr="00C907EC" w:rsidRDefault="00722714" w:rsidP="00722714">
      <w:pPr>
        <w:spacing w:before="120" w:after="120"/>
        <w:rPr>
          <w:b/>
        </w:rPr>
      </w:pPr>
    </w:p>
    <w:p w:rsidR="00722714" w:rsidRPr="0030553F" w:rsidRDefault="0030553F" w:rsidP="00722714">
      <w:pPr>
        <w:spacing w:before="120" w:after="120"/>
        <w:rPr>
          <w:u w:val="single"/>
        </w:rPr>
      </w:pPr>
      <w:r w:rsidRPr="0030553F">
        <w:rPr>
          <w:u w:val="single"/>
        </w:rPr>
        <w:t>Support for EALD Students in ACT Public Schools</w:t>
      </w:r>
    </w:p>
    <w:p w:rsidR="00722714" w:rsidRDefault="00722714" w:rsidP="008F35EE">
      <w:pPr>
        <w:numPr>
          <w:ilvl w:val="0"/>
          <w:numId w:val="29"/>
        </w:numPr>
        <w:spacing w:before="120" w:after="120"/>
      </w:pPr>
      <w:r w:rsidRPr="00DA4655">
        <w:t xml:space="preserve">The Directorate </w:t>
      </w:r>
      <w:r>
        <w:t>provides</w:t>
      </w:r>
      <w:r w:rsidRPr="00DA4655">
        <w:t xml:space="preserve"> a range of services to support EALD students including</w:t>
      </w:r>
      <w:r>
        <w:t xml:space="preserve"> intensive support in </w:t>
      </w:r>
      <w:r w:rsidRPr="00DA4655">
        <w:t xml:space="preserve">Introductory English Centres at the primary and secondary level and </w:t>
      </w:r>
      <w:r>
        <w:t xml:space="preserve">the development of expert support in local schools through EALD teachers. </w:t>
      </w:r>
    </w:p>
    <w:p w:rsidR="00722714" w:rsidRDefault="00722714" w:rsidP="008F35EE">
      <w:pPr>
        <w:numPr>
          <w:ilvl w:val="0"/>
          <w:numId w:val="29"/>
        </w:numPr>
        <w:spacing w:before="120" w:after="120"/>
      </w:pPr>
      <w:r w:rsidRPr="00DA4655">
        <w:t xml:space="preserve">The Directorate </w:t>
      </w:r>
      <w:r>
        <w:t xml:space="preserve">is </w:t>
      </w:r>
      <w:r w:rsidRPr="00DA4655">
        <w:t>offering a range of targeted EALD professional learning courses for teachers</w:t>
      </w:r>
      <w:r>
        <w:t xml:space="preserve"> to ensure staff </w:t>
      </w:r>
      <w:r w:rsidRPr="00DA4655">
        <w:t xml:space="preserve">working with EALD students are trained and qualified and their ongoing professional learning needs have been </w:t>
      </w:r>
      <w:r w:rsidR="00625F93">
        <w:t>met.</w:t>
      </w:r>
    </w:p>
    <w:p w:rsidR="00722714" w:rsidRPr="00DA4655" w:rsidRDefault="00625F93" w:rsidP="008F35EE">
      <w:pPr>
        <w:numPr>
          <w:ilvl w:val="0"/>
          <w:numId w:val="29"/>
        </w:numPr>
        <w:spacing w:before="120" w:after="120"/>
      </w:pPr>
      <w:r>
        <w:t>In 2011-</w:t>
      </w:r>
      <w:r w:rsidR="00722714">
        <w:t>12</w:t>
      </w:r>
      <w:r>
        <w:t>,</w:t>
      </w:r>
      <w:r w:rsidR="00722714">
        <w:t xml:space="preserve"> t</w:t>
      </w:r>
      <w:r w:rsidR="00722714" w:rsidRPr="00DA4655">
        <w:t xml:space="preserve">he Directorate has developed an ESL/EALD Action Plan, updated the EALD Policy, developed and published an EALD Procedural Manual, opened a new primary Introductory English Centre and continues initiatives to build capacity of staff to meet diverse language backgrounds. </w:t>
      </w:r>
      <w:r w:rsidR="00C907EC">
        <w:br/>
      </w:r>
    </w:p>
    <w:p w:rsidR="00722714" w:rsidRPr="0030553F" w:rsidRDefault="0030553F" w:rsidP="00722714">
      <w:pPr>
        <w:spacing w:before="120" w:after="120"/>
        <w:rPr>
          <w:u w:val="single"/>
        </w:rPr>
      </w:pPr>
      <w:r w:rsidRPr="0030553F">
        <w:rPr>
          <w:u w:val="single"/>
        </w:rPr>
        <w:t>Identification of EALD Students</w:t>
      </w:r>
    </w:p>
    <w:p w:rsidR="0041607D" w:rsidRPr="00DA4655" w:rsidRDefault="0041607D" w:rsidP="008F35EE">
      <w:pPr>
        <w:numPr>
          <w:ilvl w:val="0"/>
          <w:numId w:val="29"/>
        </w:numPr>
        <w:spacing w:before="120" w:after="120"/>
      </w:pPr>
      <w:r>
        <w:t>While system enrolments have been relatively stable over the last five years, the number of EALD students, as a proportion of total enrolments, has increased.</w:t>
      </w:r>
    </w:p>
    <w:p w:rsidR="00223990" w:rsidRDefault="00223990" w:rsidP="00223990">
      <w:pPr>
        <w:numPr>
          <w:ilvl w:val="0"/>
          <w:numId w:val="29"/>
        </w:numPr>
        <w:spacing w:before="120" w:after="120"/>
      </w:pPr>
      <w:r>
        <w:t xml:space="preserve">The proportion of EALD students with higher language needs is now </w:t>
      </w:r>
      <w:r w:rsidR="00FF6495">
        <w:t>approaching 40</w:t>
      </w:r>
      <w:r>
        <w:t xml:space="preserve">% of the total EALD population. </w:t>
      </w:r>
    </w:p>
    <w:p w:rsidR="00722714" w:rsidRDefault="00722714" w:rsidP="008F35EE">
      <w:pPr>
        <w:numPr>
          <w:ilvl w:val="0"/>
          <w:numId w:val="29"/>
        </w:numPr>
        <w:spacing w:before="120" w:after="120"/>
      </w:pPr>
      <w:r>
        <w:t>The current LPR process</w:t>
      </w:r>
      <w:r w:rsidRPr="00DA4655">
        <w:t xml:space="preserve"> </w:t>
      </w:r>
      <w:r>
        <w:t>is an effective base assessment of language proficiency.</w:t>
      </w:r>
      <w:r w:rsidR="00C907EC">
        <w:br/>
      </w:r>
    </w:p>
    <w:p w:rsidR="00722714" w:rsidRPr="0030553F" w:rsidRDefault="0030553F" w:rsidP="00722714">
      <w:pPr>
        <w:spacing w:before="120" w:after="120"/>
        <w:rPr>
          <w:u w:val="single"/>
        </w:rPr>
      </w:pPr>
      <w:r w:rsidRPr="0030553F">
        <w:rPr>
          <w:u w:val="single"/>
        </w:rPr>
        <w:t>Resourcing of EALD Students in ACT Public Schools</w:t>
      </w:r>
    </w:p>
    <w:p w:rsidR="00722714" w:rsidRPr="00DA4655" w:rsidRDefault="00722714" w:rsidP="008F35EE">
      <w:pPr>
        <w:numPr>
          <w:ilvl w:val="0"/>
          <w:numId w:val="29"/>
        </w:numPr>
        <w:spacing w:before="120" w:after="120"/>
      </w:pPr>
      <w:r w:rsidRPr="00DA4655">
        <w:t>Over the last two years there has been a reallocation of resources within the Directorate, resulting in an increase in the number of EALD students receiving support</w:t>
      </w:r>
      <w:r w:rsidR="00050F55">
        <w:t>, and an increase in the percentage of eligible students receiving support</w:t>
      </w:r>
      <w:r w:rsidRPr="00DA4655">
        <w:t>.</w:t>
      </w:r>
    </w:p>
    <w:p w:rsidR="00984FAD" w:rsidRPr="00DA4655" w:rsidRDefault="00984FAD" w:rsidP="00984FAD">
      <w:pPr>
        <w:numPr>
          <w:ilvl w:val="0"/>
          <w:numId w:val="29"/>
        </w:numPr>
        <w:spacing w:before="120" w:after="120"/>
      </w:pPr>
      <w:r>
        <w:t xml:space="preserve">Funding for EALD students increased progressively over the past five years. Adjustments to funding are considered through the ACT </w:t>
      </w:r>
      <w:r w:rsidR="002D3AD3">
        <w:t>Government Budget processes.</w:t>
      </w:r>
    </w:p>
    <w:p w:rsidR="00722714" w:rsidRPr="00DA4655" w:rsidRDefault="00722714" w:rsidP="00722714">
      <w:pPr>
        <w:spacing w:before="120" w:after="120"/>
      </w:pPr>
    </w:p>
    <w:p w:rsidR="0006059B" w:rsidRPr="00DA4655" w:rsidRDefault="0006059B" w:rsidP="00504B61">
      <w:pPr>
        <w:spacing w:before="120" w:after="120"/>
        <w:rPr>
          <w:rFonts w:cs="Calibri"/>
        </w:rPr>
      </w:pPr>
    </w:p>
    <w:p w:rsidR="0006059B" w:rsidRDefault="0006059B" w:rsidP="00504B61">
      <w:pPr>
        <w:spacing w:before="120" w:after="120"/>
        <w:rPr>
          <w:rFonts w:cs="Calibri"/>
        </w:rPr>
      </w:pPr>
    </w:p>
    <w:p w:rsidR="00D63C04" w:rsidRPr="00DA4655" w:rsidRDefault="00D63C04" w:rsidP="00504B61">
      <w:pPr>
        <w:spacing w:before="120" w:after="120"/>
        <w:rPr>
          <w:rFonts w:cs="Calibri"/>
        </w:rPr>
      </w:pPr>
    </w:p>
    <w:p w:rsidR="0006059B" w:rsidRPr="00DA4655" w:rsidRDefault="0006059B" w:rsidP="00504B61">
      <w:pPr>
        <w:spacing w:before="120" w:after="120"/>
        <w:rPr>
          <w:rFonts w:cs="Calibri"/>
        </w:rPr>
      </w:pPr>
    </w:p>
    <w:p w:rsidR="00B16BF7" w:rsidRPr="009C291C" w:rsidRDefault="0030553F" w:rsidP="00C13B7C">
      <w:pPr>
        <w:pStyle w:val="Heading2"/>
      </w:pPr>
      <w:r>
        <w:br w:type="page"/>
      </w:r>
      <w:bookmarkStart w:id="110" w:name="_Toc322083125"/>
      <w:r w:rsidR="00B16BF7">
        <w:t>6</w:t>
      </w:r>
      <w:r w:rsidR="00B16BF7" w:rsidRPr="009C291C">
        <w:t>. REFERENCES</w:t>
      </w:r>
      <w:bookmarkEnd w:id="110"/>
    </w:p>
    <w:p w:rsidR="00B16BF7" w:rsidRPr="001852DD" w:rsidRDefault="00B16BF7" w:rsidP="00B16BF7">
      <w:pPr>
        <w:spacing w:before="120" w:after="120"/>
        <w:rPr>
          <w:i/>
        </w:rPr>
      </w:pPr>
      <w:proofErr w:type="gramStart"/>
      <w:r w:rsidRPr="001852DD">
        <w:t>ACT Department of Education and Training (2009).</w:t>
      </w:r>
      <w:proofErr w:type="gramEnd"/>
      <w:r w:rsidRPr="001852DD">
        <w:t xml:space="preserve"> </w:t>
      </w:r>
      <w:proofErr w:type="gramStart"/>
      <w:r w:rsidRPr="001852DD">
        <w:rPr>
          <w:i/>
        </w:rPr>
        <w:t>Literacy and Numeracy Strategy 2009 -2013.</w:t>
      </w:r>
      <w:proofErr w:type="gramEnd"/>
      <w:r w:rsidRPr="001852DD">
        <w:rPr>
          <w:i/>
        </w:rPr>
        <w:br/>
      </w:r>
    </w:p>
    <w:p w:rsidR="00B16BF7" w:rsidRPr="001852DD" w:rsidRDefault="00B16BF7" w:rsidP="00B16BF7">
      <w:pPr>
        <w:spacing w:before="120" w:after="120"/>
        <w:rPr>
          <w:i/>
        </w:rPr>
      </w:pPr>
      <w:proofErr w:type="gramStart"/>
      <w:r w:rsidRPr="001852DD">
        <w:t>ACT Department of Education and Training (2010).</w:t>
      </w:r>
      <w:proofErr w:type="gramEnd"/>
      <w:r w:rsidRPr="001852DD">
        <w:t xml:space="preserve"> </w:t>
      </w:r>
      <w:r w:rsidRPr="001852DD">
        <w:rPr>
          <w:i/>
        </w:rPr>
        <w:t>Everyone Matters – Education and Training Directorate Strategic Plan 2010-2013.</w:t>
      </w:r>
      <w:r w:rsidRPr="001852DD">
        <w:rPr>
          <w:i/>
        </w:rPr>
        <w:br/>
      </w:r>
    </w:p>
    <w:p w:rsidR="00B16BF7" w:rsidRPr="001852DD" w:rsidRDefault="00B16BF7" w:rsidP="00B16BF7">
      <w:pPr>
        <w:spacing w:before="120" w:after="120"/>
      </w:pPr>
      <w:r w:rsidRPr="001852DD">
        <w:t xml:space="preserve">ACT Education and Training Directorate (2011). </w:t>
      </w:r>
      <w:r w:rsidRPr="001852DD">
        <w:tab/>
      </w:r>
      <w:proofErr w:type="gramStart"/>
      <w:r w:rsidRPr="001852DD">
        <w:rPr>
          <w:i/>
        </w:rPr>
        <w:t>English as an Additional Language (EALD) Program Procedural Manual.</w:t>
      </w:r>
      <w:proofErr w:type="gramEnd"/>
      <w:r w:rsidRPr="001852DD">
        <w:rPr>
          <w:i/>
        </w:rPr>
        <w:t xml:space="preserve"> </w:t>
      </w:r>
      <w:r w:rsidRPr="001852DD">
        <w:tab/>
      </w:r>
      <w:r w:rsidRPr="001852DD">
        <w:br/>
      </w:r>
    </w:p>
    <w:p w:rsidR="00B16BF7" w:rsidRPr="001852DD" w:rsidRDefault="00B16BF7" w:rsidP="00B16BF7">
      <w:pPr>
        <w:spacing w:before="120" w:after="120"/>
      </w:pPr>
      <w:r w:rsidRPr="001852DD">
        <w:t xml:space="preserve">ACT Education and Training Directorate (2011). </w:t>
      </w:r>
      <w:proofErr w:type="gramStart"/>
      <w:r w:rsidRPr="001852DD">
        <w:rPr>
          <w:i/>
        </w:rPr>
        <w:t>English as an Additional Language or Dialect Policy.</w:t>
      </w:r>
      <w:proofErr w:type="gramEnd"/>
      <w:r w:rsidRPr="001852DD">
        <w:rPr>
          <w:i/>
        </w:rPr>
        <w:br/>
        <w:t xml:space="preserve"> </w:t>
      </w:r>
    </w:p>
    <w:p w:rsidR="00B16BF7" w:rsidRPr="001852DD" w:rsidRDefault="00B16BF7" w:rsidP="00B16BF7">
      <w:pPr>
        <w:spacing w:before="120" w:after="120"/>
      </w:pPr>
      <w:proofErr w:type="gramStart"/>
      <w:r w:rsidRPr="001852DD">
        <w:t>Australian Curriculum, Assessment and Reporting Authority</w:t>
      </w:r>
      <w:r w:rsidRPr="001852DD">
        <w:rPr>
          <w:bCs/>
        </w:rPr>
        <w:t xml:space="preserve"> (2011).</w:t>
      </w:r>
      <w:proofErr w:type="gramEnd"/>
      <w:r w:rsidRPr="001852DD">
        <w:rPr>
          <w:i/>
        </w:rPr>
        <w:t xml:space="preserve"> English as an Additional Language or Dialect: Teacher Resource</w:t>
      </w:r>
      <w:r w:rsidRPr="001852DD">
        <w:t>, version 1.1.</w:t>
      </w:r>
      <w:r w:rsidRPr="001852DD">
        <w:br/>
      </w:r>
      <w:r w:rsidRPr="001852DD">
        <w:tab/>
      </w:r>
      <w:r w:rsidRPr="001852DD">
        <w:tab/>
      </w:r>
    </w:p>
    <w:p w:rsidR="00B16BF7" w:rsidRPr="00DA4655" w:rsidRDefault="00B16BF7" w:rsidP="00B16BF7">
      <w:pPr>
        <w:spacing w:before="120" w:after="120"/>
        <w:rPr>
          <w:b/>
          <w:i/>
        </w:rPr>
      </w:pPr>
    </w:p>
    <w:p w:rsidR="00B16BF7" w:rsidRPr="00DA4655" w:rsidRDefault="00B16BF7" w:rsidP="00B16BF7">
      <w:pPr>
        <w:spacing w:before="120" w:after="120"/>
        <w:rPr>
          <w:b/>
          <w:i/>
        </w:rPr>
      </w:pPr>
    </w:p>
    <w:p w:rsidR="007F09B3" w:rsidRPr="00C953DF" w:rsidRDefault="00B16BF7" w:rsidP="00C13B7C">
      <w:pPr>
        <w:pStyle w:val="Heading2"/>
      </w:pPr>
      <w:r>
        <w:br w:type="page"/>
      </w:r>
      <w:bookmarkStart w:id="111" w:name="_Toc322083126"/>
      <w:r>
        <w:t>7</w:t>
      </w:r>
      <w:r w:rsidR="00FA1949" w:rsidRPr="00C953DF">
        <w:t xml:space="preserve">. </w:t>
      </w:r>
      <w:r w:rsidR="007F09B3" w:rsidRPr="00C953DF">
        <w:t>A</w:t>
      </w:r>
      <w:r w:rsidR="00504B61" w:rsidRPr="00C953DF">
        <w:t>PPENDICES</w:t>
      </w:r>
      <w:bookmarkEnd w:id="111"/>
    </w:p>
    <w:p w:rsidR="00E16DFC" w:rsidRPr="00DA4655" w:rsidRDefault="00E16DFC" w:rsidP="00504B61">
      <w:pPr>
        <w:spacing w:before="120" w:after="120"/>
      </w:pPr>
    </w:p>
    <w:p w:rsidR="00657F4F" w:rsidRPr="00DA4655" w:rsidRDefault="00657F4F" w:rsidP="00657F4F">
      <w:pPr>
        <w:spacing w:before="120" w:after="120"/>
      </w:pPr>
      <w:r>
        <w:t>Appendix 1</w:t>
      </w:r>
      <w:r w:rsidRPr="00DA4655">
        <w:tab/>
        <w:t>EALD in Other Jurisdictions - Summary of Services</w:t>
      </w:r>
    </w:p>
    <w:p w:rsidR="00657F4F" w:rsidRDefault="00657F4F" w:rsidP="00504B61">
      <w:pPr>
        <w:spacing w:before="120" w:after="120"/>
      </w:pPr>
    </w:p>
    <w:p w:rsidR="007F09B3" w:rsidRPr="00DA4655" w:rsidRDefault="00657F4F" w:rsidP="00504B61">
      <w:pPr>
        <w:spacing w:before="120" w:after="120"/>
      </w:pPr>
      <w:r>
        <w:t>Appendix 2</w:t>
      </w:r>
      <w:r w:rsidR="007F09B3" w:rsidRPr="00DA4655">
        <w:tab/>
        <w:t xml:space="preserve">ESL Action Plan 2011-2013 </w:t>
      </w:r>
    </w:p>
    <w:p w:rsidR="007F09B3" w:rsidRPr="00DA4655" w:rsidRDefault="007F09B3" w:rsidP="00504B61">
      <w:pPr>
        <w:spacing w:before="120" w:after="120"/>
      </w:pPr>
    </w:p>
    <w:p w:rsidR="00050F55" w:rsidRPr="00DA4655" w:rsidRDefault="00050F55" w:rsidP="00050F55">
      <w:pPr>
        <w:spacing w:before="120" w:after="120"/>
        <w:rPr>
          <w:lang w:val="en-US"/>
        </w:rPr>
      </w:pPr>
      <w:r>
        <w:rPr>
          <w:lang w:val="en-US"/>
        </w:rPr>
        <w:t>Appendix 3</w:t>
      </w:r>
      <w:r w:rsidRPr="00DA4655">
        <w:rPr>
          <w:lang w:val="en-US"/>
        </w:rPr>
        <w:t xml:space="preserve"> </w:t>
      </w:r>
      <w:r w:rsidRPr="00DA4655">
        <w:rPr>
          <w:lang w:val="en-US"/>
        </w:rPr>
        <w:tab/>
        <w:t>Professional Learn</w:t>
      </w:r>
      <w:r>
        <w:rPr>
          <w:lang w:val="en-US"/>
        </w:rPr>
        <w:t>ing, Resources and Support for T</w:t>
      </w:r>
      <w:r w:rsidRPr="00DA4655">
        <w:rPr>
          <w:lang w:val="en-US"/>
        </w:rPr>
        <w:t xml:space="preserve">eachers  </w:t>
      </w:r>
    </w:p>
    <w:p w:rsidR="00050F55" w:rsidRPr="00DA4655" w:rsidRDefault="00050F55" w:rsidP="00050F55">
      <w:pPr>
        <w:spacing w:before="120" w:after="120"/>
        <w:rPr>
          <w:lang w:val="en-US"/>
        </w:rPr>
      </w:pPr>
    </w:p>
    <w:p w:rsidR="00FA1949" w:rsidRDefault="007F09B3" w:rsidP="00504B61">
      <w:pPr>
        <w:spacing w:before="120" w:after="120"/>
      </w:pPr>
      <w:r w:rsidRPr="00DA4655">
        <w:t xml:space="preserve">Appendix </w:t>
      </w:r>
      <w:r w:rsidR="00050F55">
        <w:t>4</w:t>
      </w:r>
      <w:r w:rsidRPr="00DA4655">
        <w:tab/>
      </w:r>
      <w:r w:rsidR="00FA1949">
        <w:t>Stakeholder Forum</w:t>
      </w:r>
    </w:p>
    <w:p w:rsidR="00FA1949" w:rsidRDefault="00050F55" w:rsidP="00504B61">
      <w:pPr>
        <w:spacing w:before="120" w:after="120"/>
        <w:ind w:firstLine="2127"/>
        <w:rPr>
          <w:b/>
        </w:rPr>
      </w:pPr>
      <w:r>
        <w:t>4</w:t>
      </w:r>
      <w:r w:rsidR="00FA1949">
        <w:t xml:space="preserve">.1 </w:t>
      </w:r>
      <w:r w:rsidR="007F09B3" w:rsidRPr="00DA4655">
        <w:t xml:space="preserve">Stakeholder </w:t>
      </w:r>
      <w:r w:rsidR="00380217">
        <w:t>Forum</w:t>
      </w:r>
      <w:r w:rsidR="007F09B3" w:rsidRPr="00DA4655">
        <w:t xml:space="preserve"> Participants</w:t>
      </w:r>
    </w:p>
    <w:p w:rsidR="00FA1949" w:rsidRDefault="00050F55" w:rsidP="00504B61">
      <w:pPr>
        <w:spacing w:before="120" w:after="120"/>
        <w:ind w:firstLine="2127"/>
      </w:pPr>
      <w:r>
        <w:t>4</w:t>
      </w:r>
      <w:r w:rsidR="00FA1949" w:rsidRPr="00FA1949">
        <w:t xml:space="preserve">.2 </w:t>
      </w:r>
      <w:r w:rsidR="00657F4F" w:rsidRPr="00FA1949">
        <w:rPr>
          <w:lang w:val="en-US"/>
        </w:rPr>
        <w:t>Stakeholder</w:t>
      </w:r>
      <w:r w:rsidR="00657F4F" w:rsidRPr="00DA4655">
        <w:rPr>
          <w:lang w:val="en-US"/>
        </w:rPr>
        <w:t xml:space="preserve"> </w:t>
      </w:r>
      <w:r w:rsidR="00380217">
        <w:rPr>
          <w:lang w:val="en-US"/>
        </w:rPr>
        <w:t>Forum</w:t>
      </w:r>
      <w:r w:rsidR="00657F4F" w:rsidRPr="00DA4655">
        <w:rPr>
          <w:lang w:val="en-US"/>
        </w:rPr>
        <w:t xml:space="preserve"> – Background Paper</w:t>
      </w:r>
      <w:r w:rsidR="00657F4F">
        <w:t xml:space="preserve"> </w:t>
      </w:r>
    </w:p>
    <w:p w:rsidR="00FA1949" w:rsidRDefault="00050F55" w:rsidP="00504B61">
      <w:pPr>
        <w:spacing w:before="120" w:after="120"/>
        <w:ind w:firstLine="2127"/>
        <w:rPr>
          <w:b/>
        </w:rPr>
      </w:pPr>
      <w:r>
        <w:t>4</w:t>
      </w:r>
      <w:r w:rsidR="00FA1949">
        <w:t>.3</w:t>
      </w:r>
      <w:r w:rsidR="00657F4F">
        <w:t xml:space="preserve"> Stakeholder Forum Overview</w:t>
      </w:r>
      <w:r w:rsidR="00FA1949">
        <w:t xml:space="preserve"> </w:t>
      </w:r>
      <w:r w:rsidR="006F711E">
        <w:t>and Process</w:t>
      </w:r>
    </w:p>
    <w:p w:rsidR="009E12D3" w:rsidRPr="00DA4655" w:rsidRDefault="00050F55" w:rsidP="00C9195B">
      <w:pPr>
        <w:spacing w:before="120" w:after="120"/>
        <w:ind w:firstLine="2127"/>
        <w:rPr>
          <w:lang w:val="en-US"/>
        </w:rPr>
      </w:pPr>
      <w:r>
        <w:t>4</w:t>
      </w:r>
      <w:r w:rsidR="00FA1949" w:rsidRPr="00FA1949">
        <w:t>.</w:t>
      </w:r>
      <w:r w:rsidR="00FA1949">
        <w:t>4</w:t>
      </w:r>
      <w:r w:rsidR="00FA1949" w:rsidRPr="00FA1949">
        <w:t xml:space="preserve"> </w:t>
      </w:r>
      <w:r w:rsidR="00657F4F">
        <w:t>Summary of Stakeholder Feedback</w:t>
      </w:r>
      <w:r w:rsidR="00A14650">
        <w:rPr>
          <w:lang w:val="en-US"/>
        </w:rPr>
        <w:br/>
      </w:r>
    </w:p>
    <w:p w:rsidR="009E12D3" w:rsidRDefault="00504B61" w:rsidP="00504B61">
      <w:pPr>
        <w:spacing w:before="120" w:after="120"/>
        <w:rPr>
          <w:lang w:val="en-US"/>
        </w:rPr>
      </w:pPr>
      <w:r>
        <w:rPr>
          <w:lang w:val="en-US"/>
        </w:rPr>
        <w:t>Appendix 5</w:t>
      </w:r>
      <w:r w:rsidR="00723DC0" w:rsidRPr="00DA4655">
        <w:rPr>
          <w:lang w:val="en-US"/>
        </w:rPr>
        <w:t xml:space="preserve"> </w:t>
      </w:r>
      <w:r w:rsidR="00723DC0" w:rsidRPr="00DA4655">
        <w:rPr>
          <w:lang w:val="en-US"/>
        </w:rPr>
        <w:tab/>
        <w:t xml:space="preserve">Language Performance Rating Assessment </w:t>
      </w:r>
      <w:r w:rsidR="007F0ECB" w:rsidRPr="00DA4655">
        <w:rPr>
          <w:lang w:val="en-US"/>
        </w:rPr>
        <w:t>P</w:t>
      </w:r>
      <w:r w:rsidR="00723DC0" w:rsidRPr="00DA4655">
        <w:rPr>
          <w:lang w:val="en-US"/>
        </w:rPr>
        <w:t>rocess</w:t>
      </w:r>
    </w:p>
    <w:p w:rsidR="00B90BC2" w:rsidRDefault="00B90BC2" w:rsidP="00504B61">
      <w:pPr>
        <w:spacing w:before="120" w:after="120"/>
        <w:rPr>
          <w:lang w:val="en-US"/>
        </w:rPr>
      </w:pPr>
    </w:p>
    <w:p w:rsidR="00BF759E" w:rsidRDefault="00BF759E" w:rsidP="00AF0A16">
      <w:pPr>
        <w:spacing w:before="120" w:after="120"/>
        <w:rPr>
          <w:lang w:val="en-US"/>
        </w:rPr>
      </w:pPr>
    </w:p>
    <w:p w:rsidR="00D63C04" w:rsidRDefault="00D63C04" w:rsidP="00AF0A16">
      <w:pPr>
        <w:spacing w:before="120" w:after="120"/>
        <w:rPr>
          <w:lang w:val="en-US"/>
        </w:rPr>
      </w:pPr>
    </w:p>
    <w:p w:rsidR="00D63C04" w:rsidRDefault="00D63C04" w:rsidP="00AF0A16">
      <w:pPr>
        <w:spacing w:before="120" w:after="120"/>
        <w:rPr>
          <w:lang w:val="en-US"/>
        </w:rPr>
      </w:pPr>
    </w:p>
    <w:p w:rsidR="00D63C04" w:rsidRDefault="00D63C04" w:rsidP="00AF0A16">
      <w:pPr>
        <w:spacing w:before="120" w:after="120"/>
        <w:rPr>
          <w:lang w:val="en-US"/>
        </w:rPr>
      </w:pPr>
    </w:p>
    <w:p w:rsidR="00D63C04" w:rsidRDefault="00D63C04" w:rsidP="00AF0A16">
      <w:pPr>
        <w:spacing w:before="120" w:after="120"/>
        <w:rPr>
          <w:lang w:val="en-US"/>
        </w:rPr>
      </w:pPr>
    </w:p>
    <w:p w:rsidR="00D63C04" w:rsidRDefault="00D63C04" w:rsidP="00AF0A16">
      <w:pPr>
        <w:spacing w:before="120" w:after="120"/>
        <w:rPr>
          <w:lang w:val="en-US"/>
        </w:rPr>
      </w:pPr>
    </w:p>
    <w:p w:rsidR="00D63C04" w:rsidRDefault="00D63C04" w:rsidP="00AF0A16">
      <w:pPr>
        <w:spacing w:before="120" w:after="120"/>
        <w:rPr>
          <w:lang w:val="en-US"/>
        </w:rPr>
      </w:pPr>
    </w:p>
    <w:p w:rsidR="00D63C04" w:rsidRDefault="00D63C04" w:rsidP="00AF0A16">
      <w:pPr>
        <w:spacing w:before="120" w:after="120"/>
        <w:rPr>
          <w:lang w:val="en-US"/>
        </w:rPr>
      </w:pPr>
    </w:p>
    <w:p w:rsidR="00D63C04" w:rsidRDefault="00D63C04" w:rsidP="00AF0A16">
      <w:pPr>
        <w:spacing w:before="120" w:after="120"/>
        <w:rPr>
          <w:lang w:val="en-US"/>
        </w:rPr>
      </w:pPr>
    </w:p>
    <w:p w:rsidR="00D63C04" w:rsidRDefault="00D63C04" w:rsidP="00AF0A16">
      <w:pPr>
        <w:spacing w:before="120" w:after="120"/>
        <w:rPr>
          <w:lang w:val="en-US"/>
        </w:rPr>
      </w:pPr>
    </w:p>
    <w:p w:rsidR="00D63C04" w:rsidRDefault="00D63C04" w:rsidP="00AF0A16">
      <w:pPr>
        <w:spacing w:before="120" w:after="120"/>
        <w:rPr>
          <w:lang w:val="en-US"/>
        </w:rPr>
      </w:pPr>
    </w:p>
    <w:p w:rsidR="00D63C04" w:rsidRDefault="00D63C04" w:rsidP="00AF0A16">
      <w:pPr>
        <w:spacing w:before="120" w:after="120"/>
        <w:rPr>
          <w:lang w:val="en-US"/>
        </w:rPr>
      </w:pPr>
    </w:p>
    <w:p w:rsidR="00D63C04" w:rsidRDefault="00D63C04" w:rsidP="00AF0A16">
      <w:pPr>
        <w:spacing w:before="120" w:after="120"/>
        <w:rPr>
          <w:lang w:val="en-US"/>
        </w:rPr>
      </w:pPr>
    </w:p>
    <w:p w:rsidR="00D63C04" w:rsidRDefault="00D63C04" w:rsidP="00AF0A16">
      <w:pPr>
        <w:spacing w:before="120" w:after="120"/>
        <w:rPr>
          <w:lang w:val="en-US"/>
        </w:rPr>
      </w:pPr>
    </w:p>
    <w:p w:rsidR="00D63C04" w:rsidRPr="00D63C04" w:rsidRDefault="00D63C04" w:rsidP="00AF0A16">
      <w:pPr>
        <w:spacing w:before="120" w:after="120"/>
        <w:rPr>
          <w:lang w:val="en-US"/>
        </w:rPr>
      </w:pPr>
    </w:p>
    <w:p w:rsidR="00AF0A16" w:rsidRPr="00AF5222" w:rsidRDefault="0030553F" w:rsidP="00C13B7C">
      <w:pPr>
        <w:pStyle w:val="Heading2"/>
      </w:pPr>
      <w:r>
        <w:br w:type="page"/>
      </w:r>
      <w:bookmarkStart w:id="112" w:name="_Toc322080330"/>
      <w:bookmarkStart w:id="113" w:name="_Toc322083127"/>
      <w:r w:rsidR="00AF0A16">
        <w:t>Appendix 1</w:t>
      </w:r>
      <w:r w:rsidR="00AF0A16" w:rsidRPr="00AF5222">
        <w:tab/>
        <w:t>EALD in Other Jurisdictions - Summary of Services</w:t>
      </w:r>
      <w:bookmarkEnd w:id="112"/>
      <w:bookmarkEnd w:id="113"/>
    </w:p>
    <w:p w:rsidR="00AF0A16" w:rsidRDefault="00AF0A16" w:rsidP="00C13B7C">
      <w:pPr>
        <w:pStyle w:val="Heading2"/>
        <w:sectPr w:rsidR="00AF0A16" w:rsidSect="00401313">
          <w:type w:val="continuous"/>
          <w:pgSz w:w="11906" w:h="16838" w:code="9"/>
          <w:pgMar w:top="1276" w:right="992" w:bottom="964" w:left="1440" w:header="567" w:footer="0" w:gutter="0"/>
          <w:cols w:space="708"/>
          <w:docGrid w:linePitch="360"/>
        </w:sectPr>
      </w:pPr>
    </w:p>
    <w:p w:rsidR="00AF0A16" w:rsidRPr="00DA4655" w:rsidRDefault="002A7D49" w:rsidP="00AF0A16">
      <w:pPr>
        <w:spacing w:before="120" w:after="120"/>
        <w:rPr>
          <w:b/>
          <w:sz w:val="28"/>
          <w:szCs w:val="36"/>
        </w:rPr>
      </w:pPr>
      <w:r w:rsidRPr="002A7D49">
        <w:rPr>
          <w:b/>
          <w:shadow/>
          <w:noProof/>
          <w:sz w:val="40"/>
          <w:szCs w:val="40"/>
          <w:u w:val="single"/>
          <w:lang w:eastAsia="en-AU"/>
        </w:rPr>
        <w:pict>
          <v:shape id="_x0000_s1039" type="#_x0000_t202" style="position:absolute;margin-left:-5.35pt;margin-top:-26.2pt;width:13.95pt;height:3.55pt;z-index:251659776;mso-width-relative:margin;mso-height-relative:margin" stroked="f">
            <v:textbox style="mso-next-textbox:#_x0000_s1039">
              <w:txbxContent>
                <w:p w:rsidR="00C16B47" w:rsidRPr="00FA1949" w:rsidRDefault="00C16B47" w:rsidP="00C13B7C">
                  <w:pPr>
                    <w:pStyle w:val="EALDReview"/>
                  </w:pPr>
                </w:p>
              </w:txbxContent>
            </v:textbox>
          </v:shape>
        </w:pict>
      </w:r>
      <w:r w:rsidR="00AF0A16" w:rsidRPr="00DA4655">
        <w:rPr>
          <w:b/>
          <w:sz w:val="28"/>
        </w:rPr>
        <w:t>EALD in Other Jurisdictions - Summary of Services</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835"/>
        <w:gridCol w:w="6696"/>
        <w:gridCol w:w="3969"/>
      </w:tblGrid>
      <w:tr w:rsidR="00AF0A16" w:rsidRPr="00DA4655" w:rsidTr="008F24E8">
        <w:trPr>
          <w:cantSplit/>
          <w:trHeight w:val="567"/>
        </w:trPr>
        <w:tc>
          <w:tcPr>
            <w:tcW w:w="1526" w:type="dxa"/>
            <w:vAlign w:val="center"/>
          </w:tcPr>
          <w:p w:rsidR="00AF0A16" w:rsidRPr="00DA4655" w:rsidRDefault="00AF0A16" w:rsidP="008F24E8">
            <w:pPr>
              <w:spacing w:before="120" w:after="120"/>
              <w:rPr>
                <w:rFonts w:eastAsia="Times New Roman" w:cs="Calibri"/>
                <w:b/>
                <w:szCs w:val="19"/>
                <w:lang w:eastAsia="en-AU"/>
              </w:rPr>
            </w:pPr>
            <w:r w:rsidRPr="00DA4655">
              <w:rPr>
                <w:rFonts w:eastAsia="Times New Roman" w:cs="Calibri"/>
                <w:b/>
                <w:szCs w:val="19"/>
                <w:lang w:eastAsia="en-AU"/>
              </w:rPr>
              <w:t>STATE</w:t>
            </w:r>
          </w:p>
        </w:tc>
        <w:tc>
          <w:tcPr>
            <w:tcW w:w="2835" w:type="dxa"/>
            <w:vAlign w:val="center"/>
          </w:tcPr>
          <w:p w:rsidR="00AF0A16" w:rsidRPr="00DA4655" w:rsidRDefault="00AF0A16" w:rsidP="008F24E8">
            <w:pPr>
              <w:spacing w:before="120" w:after="120"/>
              <w:rPr>
                <w:rFonts w:eastAsia="Times New Roman" w:cs="Calibri"/>
                <w:b/>
                <w:szCs w:val="19"/>
                <w:lang w:eastAsia="en-AU"/>
              </w:rPr>
            </w:pPr>
            <w:r w:rsidRPr="00DA4655">
              <w:rPr>
                <w:rFonts w:eastAsia="Times New Roman" w:cs="Calibri"/>
                <w:b/>
                <w:szCs w:val="19"/>
                <w:lang w:eastAsia="en-AU"/>
              </w:rPr>
              <w:t>Enrolments / Number of Students</w:t>
            </w:r>
          </w:p>
        </w:tc>
        <w:tc>
          <w:tcPr>
            <w:tcW w:w="6696" w:type="dxa"/>
            <w:vAlign w:val="center"/>
          </w:tcPr>
          <w:p w:rsidR="00AF0A16" w:rsidRPr="00DA4655" w:rsidRDefault="00AF0A16" w:rsidP="008F24E8">
            <w:pPr>
              <w:spacing w:before="120" w:after="120"/>
              <w:rPr>
                <w:rFonts w:eastAsia="Times New Roman" w:cs="Calibri"/>
                <w:b/>
                <w:szCs w:val="19"/>
                <w:lang w:eastAsia="en-AU"/>
              </w:rPr>
            </w:pPr>
            <w:r>
              <w:rPr>
                <w:rFonts w:eastAsia="Times New Roman" w:cs="Calibri"/>
                <w:b/>
                <w:szCs w:val="19"/>
                <w:lang w:eastAsia="en-AU"/>
              </w:rPr>
              <w:t>Support Services and Resourcing</w:t>
            </w:r>
          </w:p>
        </w:tc>
        <w:tc>
          <w:tcPr>
            <w:tcW w:w="3969" w:type="dxa"/>
            <w:vAlign w:val="center"/>
          </w:tcPr>
          <w:p w:rsidR="00AF0A16" w:rsidRPr="00DA4655" w:rsidRDefault="00AF0A16" w:rsidP="008F24E8">
            <w:pPr>
              <w:spacing w:before="120" w:after="120"/>
              <w:rPr>
                <w:rFonts w:eastAsia="Times New Roman" w:cs="Calibri"/>
                <w:b/>
                <w:szCs w:val="19"/>
                <w:lang w:eastAsia="en-AU"/>
              </w:rPr>
            </w:pPr>
            <w:r w:rsidRPr="00DA4655">
              <w:rPr>
                <w:rFonts w:eastAsia="Times New Roman" w:cs="Calibri"/>
                <w:b/>
                <w:szCs w:val="19"/>
                <w:lang w:eastAsia="en-AU"/>
              </w:rPr>
              <w:t>Other information</w:t>
            </w:r>
          </w:p>
        </w:tc>
      </w:tr>
      <w:tr w:rsidR="00AF0A16" w:rsidRPr="00DA4655" w:rsidTr="008F24E8">
        <w:trPr>
          <w:cantSplit/>
          <w:trHeight w:val="3812"/>
        </w:trPr>
        <w:tc>
          <w:tcPr>
            <w:tcW w:w="1526" w:type="dxa"/>
            <w:vAlign w:val="center"/>
          </w:tcPr>
          <w:p w:rsidR="00AF0A16" w:rsidRPr="00DA4655" w:rsidRDefault="00AF0A16" w:rsidP="008F24E8">
            <w:pPr>
              <w:spacing w:before="120" w:after="120"/>
              <w:rPr>
                <w:rFonts w:eastAsia="Times New Roman" w:cs="Calibri"/>
                <w:b/>
                <w:szCs w:val="19"/>
                <w:lang w:eastAsia="en-AU"/>
              </w:rPr>
            </w:pPr>
            <w:r w:rsidRPr="00DA4655">
              <w:rPr>
                <w:rFonts w:eastAsia="Times New Roman" w:cs="Calibri"/>
                <w:b/>
                <w:szCs w:val="19"/>
                <w:lang w:eastAsia="en-AU"/>
              </w:rPr>
              <w:t>NEW SOUTH WALES</w:t>
            </w:r>
          </w:p>
        </w:tc>
        <w:tc>
          <w:tcPr>
            <w:tcW w:w="2835" w:type="dxa"/>
            <w:vAlign w:val="center"/>
          </w:tcPr>
          <w:p w:rsidR="00AF0A16" w:rsidRPr="00DA4655" w:rsidRDefault="00AF0A16" w:rsidP="008F24E8">
            <w:pPr>
              <w:spacing w:before="120" w:after="120"/>
              <w:rPr>
                <w:rFonts w:cs="Calibri"/>
                <w:sz w:val="20"/>
                <w:szCs w:val="19"/>
              </w:rPr>
            </w:pPr>
            <w:r w:rsidRPr="00DA4655">
              <w:rPr>
                <w:rFonts w:cs="Calibri"/>
                <w:sz w:val="20"/>
                <w:szCs w:val="19"/>
              </w:rPr>
              <w:t>220,837 LBOTE students</w:t>
            </w:r>
          </w:p>
          <w:p w:rsidR="00AF0A16" w:rsidRPr="00DA4655" w:rsidRDefault="00AF0A16" w:rsidP="008F24E8">
            <w:pPr>
              <w:spacing w:before="120" w:after="120"/>
              <w:rPr>
                <w:rFonts w:cs="Calibri"/>
                <w:sz w:val="20"/>
                <w:szCs w:val="19"/>
              </w:rPr>
            </w:pPr>
            <w:r w:rsidRPr="00DA4655">
              <w:rPr>
                <w:rFonts w:cs="Calibri"/>
                <w:sz w:val="20"/>
                <w:szCs w:val="19"/>
              </w:rPr>
              <w:t>Total 2011 enrolments 741,061</w:t>
            </w:r>
          </w:p>
          <w:p w:rsidR="00AF0A16" w:rsidRPr="00DA4655" w:rsidRDefault="00AF0A16" w:rsidP="008F24E8">
            <w:pPr>
              <w:spacing w:before="120" w:after="120"/>
              <w:rPr>
                <w:rFonts w:cs="Calibri"/>
                <w:sz w:val="20"/>
                <w:szCs w:val="19"/>
              </w:rPr>
            </w:pPr>
            <w:r w:rsidRPr="00DA4655">
              <w:rPr>
                <w:rFonts w:cs="Calibri"/>
                <w:sz w:val="20"/>
                <w:szCs w:val="19"/>
              </w:rPr>
              <w:t xml:space="preserve">30% of NSW students have a language background other than English (LBOTE) </w:t>
            </w:r>
          </w:p>
        </w:tc>
        <w:tc>
          <w:tcPr>
            <w:tcW w:w="6696" w:type="dxa"/>
            <w:vAlign w:val="center"/>
          </w:tcPr>
          <w:p w:rsidR="00AF0A16" w:rsidRPr="00DA4655" w:rsidRDefault="00AF0A16" w:rsidP="008F24E8">
            <w:pPr>
              <w:spacing w:before="120" w:after="120"/>
              <w:rPr>
                <w:rFonts w:cs="Calibri"/>
                <w:sz w:val="20"/>
              </w:rPr>
            </w:pPr>
            <w:r w:rsidRPr="00DA4655">
              <w:rPr>
                <w:rFonts w:cs="Calibri"/>
                <w:sz w:val="20"/>
              </w:rPr>
              <w:t xml:space="preserve">ESL students are identified as being in one of three broad phases of English language learning - first, second or third phase – for the purpose of identifying degrees of ESL need. </w:t>
            </w:r>
          </w:p>
          <w:p w:rsidR="00AF0A16" w:rsidRPr="00DA4655" w:rsidRDefault="00AF0A16" w:rsidP="008F24E8">
            <w:pPr>
              <w:spacing w:before="120" w:after="120"/>
              <w:rPr>
                <w:rFonts w:cs="Calibri"/>
                <w:sz w:val="20"/>
              </w:rPr>
            </w:pPr>
            <w:r w:rsidRPr="00DA4655">
              <w:rPr>
                <w:rFonts w:cs="Calibri"/>
                <w:sz w:val="20"/>
              </w:rPr>
              <w:t>Schools also use the number of students in each of the phases as a basis for determining priorities for allocating ESL teacher support within the school.</w:t>
            </w:r>
          </w:p>
          <w:p w:rsidR="00AF0A16" w:rsidRPr="00DA4655" w:rsidRDefault="00AF0A16" w:rsidP="008F24E8">
            <w:pPr>
              <w:spacing w:before="120" w:after="120"/>
              <w:rPr>
                <w:rFonts w:cs="Calibri"/>
                <w:sz w:val="20"/>
              </w:rPr>
            </w:pPr>
            <w:r w:rsidRPr="00DA4655">
              <w:rPr>
                <w:rFonts w:cs="Calibri"/>
                <w:sz w:val="20"/>
              </w:rPr>
              <w:t>ESL Targeted Support Program provides specialist ESL teachers, in addition to the school’s normal staffing allocation, to primary and high schools which have sufficient numbers of identified ESL students.</w:t>
            </w:r>
          </w:p>
          <w:p w:rsidR="00AF0A16" w:rsidRPr="00DA4655" w:rsidRDefault="00AF0A16" w:rsidP="008F24E8">
            <w:pPr>
              <w:spacing w:before="120" w:after="120"/>
              <w:rPr>
                <w:rFonts w:cs="Calibri"/>
                <w:sz w:val="20"/>
              </w:rPr>
            </w:pPr>
          </w:p>
        </w:tc>
        <w:tc>
          <w:tcPr>
            <w:tcW w:w="3969" w:type="dxa"/>
            <w:vAlign w:val="center"/>
          </w:tcPr>
          <w:p w:rsidR="00AF0A16" w:rsidRPr="00DA4655" w:rsidRDefault="00AF0A16" w:rsidP="008F24E8">
            <w:pPr>
              <w:spacing w:before="120" w:after="120"/>
              <w:rPr>
                <w:rFonts w:cs="Calibri"/>
                <w:sz w:val="20"/>
              </w:rPr>
            </w:pPr>
            <w:r w:rsidRPr="00DA4655">
              <w:rPr>
                <w:rFonts w:cs="Calibri"/>
                <w:sz w:val="20"/>
              </w:rPr>
              <w:t xml:space="preserve">ESL education is provided in primary schools, high schools, Intensive English Centres (IECs) and the Intensive English High School (IEHS). </w:t>
            </w:r>
          </w:p>
          <w:p w:rsidR="00AF0A16" w:rsidRPr="00DA4655" w:rsidRDefault="00AF0A16" w:rsidP="008F24E8">
            <w:pPr>
              <w:spacing w:before="120" w:after="120"/>
              <w:rPr>
                <w:rFonts w:cs="Calibri"/>
                <w:sz w:val="20"/>
              </w:rPr>
            </w:pPr>
            <w:r w:rsidRPr="00DA4655">
              <w:rPr>
                <w:rFonts w:cs="Calibri"/>
                <w:sz w:val="20"/>
              </w:rPr>
              <w:t xml:space="preserve">In planning and programming for ESL instruction, the school prioritises the needs of the ESL students and determines the most effective way to manage the program within the available teaching resources. </w:t>
            </w:r>
          </w:p>
          <w:p w:rsidR="00AF0A16" w:rsidRPr="00DA4655" w:rsidRDefault="00AF0A16" w:rsidP="008F24E8">
            <w:pPr>
              <w:spacing w:before="120" w:after="120"/>
              <w:rPr>
                <w:rFonts w:cs="Calibri"/>
                <w:sz w:val="20"/>
              </w:rPr>
            </w:pPr>
            <w:r w:rsidRPr="00DA4655">
              <w:rPr>
                <w:rFonts w:cs="Calibri"/>
                <w:sz w:val="20"/>
              </w:rPr>
              <w:t>The ESL Scales is an assessment and reporting framework used to describe the English language and literacy competence of ESL students as identified from school, curriculum or class based assessment information.</w:t>
            </w:r>
          </w:p>
        </w:tc>
      </w:tr>
      <w:tr w:rsidR="00AF0A16" w:rsidRPr="00DA4655" w:rsidTr="008F24E8">
        <w:trPr>
          <w:cantSplit/>
          <w:trHeight w:val="1134"/>
        </w:trPr>
        <w:tc>
          <w:tcPr>
            <w:tcW w:w="1526" w:type="dxa"/>
            <w:vAlign w:val="center"/>
          </w:tcPr>
          <w:p w:rsidR="00AF0A16" w:rsidRPr="00DA4655" w:rsidRDefault="00AF0A16" w:rsidP="008F24E8">
            <w:pPr>
              <w:spacing w:before="120" w:after="120"/>
              <w:rPr>
                <w:rFonts w:eastAsia="Times New Roman" w:cs="Calibri"/>
                <w:b/>
                <w:szCs w:val="19"/>
                <w:lang w:eastAsia="en-AU"/>
              </w:rPr>
            </w:pPr>
            <w:r w:rsidRPr="00DA4655">
              <w:rPr>
                <w:rFonts w:eastAsia="Times New Roman" w:cs="Calibri"/>
                <w:b/>
                <w:szCs w:val="19"/>
                <w:lang w:eastAsia="en-AU"/>
              </w:rPr>
              <w:t>VICTORIA</w:t>
            </w:r>
          </w:p>
        </w:tc>
        <w:tc>
          <w:tcPr>
            <w:tcW w:w="2835" w:type="dxa"/>
            <w:vAlign w:val="center"/>
          </w:tcPr>
          <w:p w:rsidR="00AF0A16" w:rsidRPr="00DA4655" w:rsidRDefault="00AF0A16" w:rsidP="008F24E8">
            <w:pPr>
              <w:spacing w:before="120" w:after="120"/>
              <w:rPr>
                <w:rFonts w:eastAsia="Times New Roman" w:cs="Calibri"/>
                <w:sz w:val="20"/>
                <w:szCs w:val="19"/>
                <w:lang w:eastAsia="en-AU"/>
              </w:rPr>
            </w:pPr>
            <w:r w:rsidRPr="00DA4655">
              <w:rPr>
                <w:rFonts w:cs="Calibri"/>
                <w:sz w:val="20"/>
                <w:szCs w:val="19"/>
              </w:rPr>
              <w:t xml:space="preserve">Students learning English as a second language (ESL), make up around </w:t>
            </w:r>
            <w:r w:rsidRPr="00DA4655">
              <w:rPr>
                <w:rFonts w:cs="Calibri"/>
                <w:b/>
                <w:sz w:val="20"/>
                <w:szCs w:val="19"/>
              </w:rPr>
              <w:t>15% of all students in metropolitan schools</w:t>
            </w:r>
          </w:p>
        </w:tc>
        <w:tc>
          <w:tcPr>
            <w:tcW w:w="6696" w:type="dxa"/>
            <w:vAlign w:val="center"/>
          </w:tcPr>
          <w:p w:rsidR="00AF0A16" w:rsidRPr="00DA4655" w:rsidRDefault="00AF0A16" w:rsidP="008F24E8">
            <w:pPr>
              <w:spacing w:before="120" w:after="120"/>
              <w:rPr>
                <w:rFonts w:eastAsia="Times New Roman" w:cs="Calibri"/>
                <w:sz w:val="20"/>
                <w:szCs w:val="19"/>
                <w:lang w:eastAsia="en-AU"/>
              </w:rPr>
            </w:pPr>
            <w:r w:rsidRPr="00DA4655">
              <w:rPr>
                <w:rFonts w:eastAsia="Times New Roman" w:cs="Calibri"/>
                <w:sz w:val="20"/>
                <w:szCs w:val="19"/>
                <w:lang w:eastAsia="en-AU"/>
              </w:rPr>
              <w:t>On arrival in Australia, ESL learners are able to access the New Arrivals Program which provides intensive full time programs or targeted support to assist with the initial stages of learning English.</w:t>
            </w:r>
          </w:p>
          <w:p w:rsidR="00AF0A16" w:rsidRPr="00DA4655" w:rsidRDefault="00AF0A16" w:rsidP="008F24E8">
            <w:pPr>
              <w:spacing w:before="120" w:after="120"/>
              <w:rPr>
                <w:rFonts w:eastAsia="Times New Roman" w:cs="Calibri"/>
                <w:sz w:val="20"/>
                <w:szCs w:val="19"/>
                <w:lang w:eastAsia="en-AU"/>
              </w:rPr>
            </w:pPr>
            <w:r w:rsidRPr="00DA4655">
              <w:rPr>
                <w:rFonts w:eastAsia="Times New Roman" w:cs="Calibri"/>
                <w:sz w:val="20"/>
                <w:szCs w:val="19"/>
                <w:lang w:eastAsia="en-AU"/>
              </w:rPr>
              <w:t>ESL</w:t>
            </w:r>
            <w:r>
              <w:rPr>
                <w:rFonts w:eastAsia="Times New Roman" w:cs="Calibri"/>
                <w:sz w:val="20"/>
                <w:szCs w:val="19"/>
                <w:lang w:eastAsia="en-AU"/>
              </w:rPr>
              <w:t xml:space="preserve"> students learning of English are</w:t>
            </w:r>
            <w:r w:rsidRPr="00DA4655">
              <w:rPr>
                <w:rFonts w:eastAsia="Times New Roman" w:cs="Calibri"/>
                <w:sz w:val="20"/>
                <w:szCs w:val="19"/>
                <w:lang w:eastAsia="en-AU"/>
              </w:rPr>
              <w:t xml:space="preserve"> further supported by ESL programs in mainstream schools. ESL Index funding is allocated to mainstream schools through the Student Resource Package (SRP). </w:t>
            </w:r>
          </w:p>
          <w:p w:rsidR="00AF0A16" w:rsidRPr="00DA4655" w:rsidRDefault="00AF0A16" w:rsidP="008F24E8">
            <w:pPr>
              <w:spacing w:before="120" w:after="120"/>
              <w:rPr>
                <w:rFonts w:eastAsia="Times New Roman" w:cs="Calibri"/>
                <w:sz w:val="20"/>
                <w:szCs w:val="19"/>
                <w:lang w:eastAsia="en-AU"/>
              </w:rPr>
            </w:pPr>
            <w:r w:rsidRPr="00DA4655">
              <w:rPr>
                <w:rFonts w:eastAsia="Times New Roman" w:cs="Calibri"/>
                <w:sz w:val="20"/>
                <w:szCs w:val="19"/>
                <w:lang w:eastAsia="en-AU"/>
              </w:rPr>
              <w:t xml:space="preserve">Funding is based on data collected from the Language Background Other Than English Census collected from all government schools in August each year. </w:t>
            </w:r>
          </w:p>
          <w:p w:rsidR="00AF0A16" w:rsidRPr="00DA4655" w:rsidRDefault="00AF0A16" w:rsidP="008F24E8">
            <w:pPr>
              <w:spacing w:before="120" w:after="120"/>
              <w:rPr>
                <w:rFonts w:eastAsia="Times New Roman" w:cs="Calibri"/>
                <w:sz w:val="20"/>
                <w:szCs w:val="19"/>
                <w:lang w:eastAsia="en-AU"/>
              </w:rPr>
            </w:pPr>
            <w:r w:rsidRPr="00DA4655">
              <w:rPr>
                <w:rFonts w:eastAsia="Times New Roman" w:cs="Calibri"/>
                <w:sz w:val="20"/>
                <w:szCs w:val="19"/>
                <w:lang w:eastAsia="en-AU"/>
              </w:rPr>
              <w:t>A weighted formula, that reflects both the length of time in an Australian school and the stage of schooling, is then applied to the students identified.</w:t>
            </w:r>
          </w:p>
        </w:tc>
        <w:tc>
          <w:tcPr>
            <w:tcW w:w="3969" w:type="dxa"/>
            <w:vAlign w:val="center"/>
          </w:tcPr>
          <w:p w:rsidR="00AF0A16" w:rsidRPr="00DA4655" w:rsidRDefault="00AF0A16" w:rsidP="008F24E8">
            <w:pPr>
              <w:spacing w:before="120" w:after="120"/>
              <w:rPr>
                <w:rFonts w:eastAsia="Times New Roman" w:cs="Calibri"/>
                <w:sz w:val="20"/>
                <w:szCs w:val="19"/>
                <w:lang w:eastAsia="en-AU"/>
              </w:rPr>
            </w:pPr>
            <w:r w:rsidRPr="00DA4655">
              <w:rPr>
                <w:rFonts w:eastAsia="Times New Roman" w:cs="Calibri"/>
                <w:sz w:val="20"/>
                <w:szCs w:val="19"/>
                <w:lang w:eastAsia="en-AU"/>
              </w:rPr>
              <w:t>Schools are required to meet a funding threshold before receiving ESL Index funding.</w:t>
            </w:r>
          </w:p>
          <w:p w:rsidR="00AF0A16" w:rsidRPr="00DA4655" w:rsidRDefault="00AF0A16" w:rsidP="008F24E8">
            <w:pPr>
              <w:spacing w:before="120" w:after="120"/>
              <w:rPr>
                <w:rFonts w:eastAsia="Times New Roman" w:cs="Calibri"/>
                <w:sz w:val="20"/>
                <w:szCs w:val="19"/>
                <w:lang w:eastAsia="en-AU"/>
              </w:rPr>
            </w:pPr>
            <w:r w:rsidRPr="00DA4655">
              <w:rPr>
                <w:rFonts w:eastAsia="Times New Roman" w:cs="Calibri"/>
                <w:sz w:val="20"/>
                <w:szCs w:val="19"/>
                <w:lang w:eastAsia="en-AU"/>
              </w:rPr>
              <w:t>Schools which experience significant increases to their ESL student profile throughout in the year may be eligible for ESL contingency funding.</w:t>
            </w:r>
          </w:p>
        </w:tc>
      </w:tr>
      <w:tr w:rsidR="00AF0A16" w:rsidRPr="00DA4655" w:rsidTr="008F24E8">
        <w:trPr>
          <w:cantSplit/>
          <w:trHeight w:val="1134"/>
        </w:trPr>
        <w:tc>
          <w:tcPr>
            <w:tcW w:w="1526" w:type="dxa"/>
            <w:vAlign w:val="center"/>
          </w:tcPr>
          <w:p w:rsidR="00AF0A16" w:rsidRPr="00DA4655" w:rsidRDefault="00AF0A16" w:rsidP="008F24E8">
            <w:pPr>
              <w:spacing w:before="120" w:after="120"/>
              <w:rPr>
                <w:rFonts w:eastAsia="Times New Roman" w:cs="Calibri"/>
                <w:b/>
                <w:szCs w:val="19"/>
                <w:lang w:eastAsia="en-AU"/>
              </w:rPr>
            </w:pPr>
            <w:r w:rsidRPr="00DA4655">
              <w:rPr>
                <w:rFonts w:eastAsia="Times New Roman" w:cs="Calibri"/>
                <w:b/>
                <w:szCs w:val="19"/>
                <w:lang w:eastAsia="en-AU"/>
              </w:rPr>
              <w:t>QUEENSLAND</w:t>
            </w:r>
          </w:p>
        </w:tc>
        <w:tc>
          <w:tcPr>
            <w:tcW w:w="2835" w:type="dxa"/>
            <w:vAlign w:val="center"/>
          </w:tcPr>
          <w:p w:rsidR="00AF0A16" w:rsidRPr="00DA4655" w:rsidRDefault="00AF0A16" w:rsidP="008F24E8">
            <w:pPr>
              <w:spacing w:before="120" w:after="120"/>
              <w:rPr>
                <w:rFonts w:cs="Calibri"/>
                <w:sz w:val="20"/>
                <w:szCs w:val="19"/>
              </w:rPr>
            </w:pPr>
            <w:r w:rsidRPr="00DA4655">
              <w:rPr>
                <w:rFonts w:cs="Calibri"/>
                <w:sz w:val="20"/>
                <w:szCs w:val="19"/>
              </w:rPr>
              <w:t>11.7% of all state school students have a language background other than English.(LBOTE)</w:t>
            </w:r>
          </w:p>
        </w:tc>
        <w:tc>
          <w:tcPr>
            <w:tcW w:w="6696" w:type="dxa"/>
            <w:vAlign w:val="center"/>
          </w:tcPr>
          <w:p w:rsidR="00AF0A16" w:rsidRPr="00DA4655" w:rsidRDefault="00AF0A16" w:rsidP="008F24E8">
            <w:pPr>
              <w:spacing w:before="120" w:after="120"/>
              <w:rPr>
                <w:rFonts w:cs="Calibri"/>
                <w:sz w:val="20"/>
                <w:szCs w:val="19"/>
              </w:rPr>
            </w:pPr>
            <w:r w:rsidRPr="00DA4655">
              <w:rPr>
                <w:rFonts w:cs="Calibri"/>
                <w:sz w:val="20"/>
                <w:szCs w:val="19"/>
              </w:rPr>
              <w:t>ESL grants provided to schools are directed to the engagement of casual teacher aides or to assist with operational costs associated with the ESL program.</w:t>
            </w:r>
          </w:p>
          <w:p w:rsidR="00AF0A16" w:rsidRPr="00DA4655" w:rsidRDefault="00AF0A16" w:rsidP="008F24E8">
            <w:pPr>
              <w:spacing w:before="120" w:after="120"/>
              <w:rPr>
                <w:rFonts w:cs="Calibri"/>
                <w:sz w:val="20"/>
                <w:szCs w:val="19"/>
              </w:rPr>
            </w:pPr>
            <w:r w:rsidRPr="00DA4655">
              <w:rPr>
                <w:rFonts w:cs="Calibri"/>
                <w:sz w:val="20"/>
                <w:szCs w:val="19"/>
              </w:rPr>
              <w:t>Schools are required to report on the use of such grants</w:t>
            </w:r>
          </w:p>
          <w:p w:rsidR="00AF0A16" w:rsidRPr="00DA4655" w:rsidRDefault="00AF0A16" w:rsidP="008F24E8">
            <w:pPr>
              <w:spacing w:before="120" w:after="120"/>
              <w:rPr>
                <w:rFonts w:cs="Calibri"/>
                <w:sz w:val="20"/>
                <w:szCs w:val="19"/>
              </w:rPr>
            </w:pPr>
            <w:r w:rsidRPr="00DA4655">
              <w:rPr>
                <w:rFonts w:cs="Calibri"/>
                <w:sz w:val="20"/>
                <w:szCs w:val="19"/>
              </w:rPr>
              <w:t>Notional allocations are determined</w:t>
            </w:r>
            <w:r w:rsidRPr="00DA4655">
              <w:rPr>
                <w:sz w:val="20"/>
                <w:szCs w:val="19"/>
              </w:rPr>
              <w:t xml:space="preserve"> </w:t>
            </w:r>
            <w:r w:rsidRPr="00DA4655">
              <w:rPr>
                <w:rFonts w:cs="Calibri"/>
                <w:sz w:val="20"/>
                <w:szCs w:val="19"/>
              </w:rPr>
              <w:t>within School and Commonwealth Resourcing Unit for each region at the commencement of each semester on the basis of student data stored in the central office database and the department approved allocation model.</w:t>
            </w:r>
          </w:p>
          <w:p w:rsidR="00AF0A16" w:rsidRPr="00DA4655" w:rsidRDefault="00AF0A16" w:rsidP="008F24E8">
            <w:pPr>
              <w:spacing w:before="120" w:after="120"/>
              <w:rPr>
                <w:rFonts w:cs="Calibri"/>
                <w:sz w:val="20"/>
                <w:szCs w:val="19"/>
              </w:rPr>
            </w:pPr>
            <w:r w:rsidRPr="00DA4655">
              <w:rPr>
                <w:rFonts w:cs="Calibri"/>
                <w:sz w:val="20"/>
                <w:szCs w:val="19"/>
              </w:rPr>
              <w:t>Within each region, ESL teaching staff and teacher aides are employed to address the identified need. Where funding is available from the notional allocation after allowance is made for permanent staffing costs, grants are identified by regional offices for payment to schools</w:t>
            </w:r>
          </w:p>
        </w:tc>
        <w:tc>
          <w:tcPr>
            <w:tcW w:w="3969" w:type="dxa"/>
            <w:vAlign w:val="center"/>
          </w:tcPr>
          <w:p w:rsidR="00AF0A16" w:rsidRPr="00DA4655" w:rsidRDefault="00AF0A16" w:rsidP="008F24E8">
            <w:pPr>
              <w:spacing w:before="120" w:after="120"/>
              <w:rPr>
                <w:rFonts w:cs="Calibri"/>
                <w:sz w:val="20"/>
                <w:szCs w:val="19"/>
              </w:rPr>
            </w:pPr>
            <w:r w:rsidRPr="00DA4655">
              <w:rPr>
                <w:rFonts w:cs="Calibri"/>
                <w:sz w:val="20"/>
                <w:szCs w:val="19"/>
              </w:rPr>
              <w:t xml:space="preserve"> </w:t>
            </w:r>
            <w:proofErr w:type="spellStart"/>
            <w:r w:rsidRPr="00DA4655">
              <w:rPr>
                <w:rFonts w:cs="Calibri"/>
                <w:sz w:val="20"/>
                <w:szCs w:val="19"/>
              </w:rPr>
              <w:t>ESL</w:t>
            </w:r>
            <w:proofErr w:type="spellEnd"/>
            <w:r w:rsidRPr="00DA4655">
              <w:rPr>
                <w:rFonts w:cs="Calibri"/>
                <w:sz w:val="20"/>
                <w:szCs w:val="19"/>
              </w:rPr>
              <w:t xml:space="preserve"> </w:t>
            </w:r>
            <w:proofErr w:type="spellStart"/>
            <w:r w:rsidRPr="00DA4655">
              <w:rPr>
                <w:rFonts w:cs="Calibri"/>
                <w:sz w:val="20"/>
                <w:szCs w:val="19"/>
              </w:rPr>
              <w:t>Bandscales</w:t>
            </w:r>
            <w:proofErr w:type="spellEnd"/>
            <w:r w:rsidRPr="00DA4655">
              <w:rPr>
                <w:rFonts w:cs="Calibri"/>
                <w:sz w:val="20"/>
                <w:szCs w:val="19"/>
              </w:rPr>
              <w:t xml:space="preserve"> are used as descriptions of typical second language acquisition and development.  They enable teachers to assess the language and learning support necessary to enable ESL learners to access the intended curriculum across all subjects. </w:t>
            </w:r>
          </w:p>
        </w:tc>
      </w:tr>
      <w:tr w:rsidR="00AF0A16" w:rsidRPr="00DA4655" w:rsidTr="008F24E8">
        <w:trPr>
          <w:cantSplit/>
          <w:trHeight w:val="1134"/>
        </w:trPr>
        <w:tc>
          <w:tcPr>
            <w:tcW w:w="1526" w:type="dxa"/>
            <w:vAlign w:val="center"/>
          </w:tcPr>
          <w:p w:rsidR="00AF0A16" w:rsidRPr="00DA4655" w:rsidRDefault="00AF0A16" w:rsidP="008F24E8">
            <w:pPr>
              <w:spacing w:before="120" w:after="120"/>
              <w:rPr>
                <w:rFonts w:eastAsia="Times New Roman" w:cs="Calibri"/>
                <w:b/>
                <w:szCs w:val="19"/>
                <w:lang w:eastAsia="en-AU"/>
              </w:rPr>
            </w:pPr>
            <w:r w:rsidRPr="00DA4655">
              <w:rPr>
                <w:rFonts w:eastAsia="Times New Roman" w:cs="Calibri"/>
                <w:b/>
                <w:szCs w:val="19"/>
                <w:lang w:eastAsia="en-AU"/>
              </w:rPr>
              <w:t>SOUTH AUSTRALIA</w:t>
            </w:r>
          </w:p>
        </w:tc>
        <w:tc>
          <w:tcPr>
            <w:tcW w:w="2835" w:type="dxa"/>
            <w:vAlign w:val="center"/>
          </w:tcPr>
          <w:p w:rsidR="00AF0A16" w:rsidRPr="00DA4655" w:rsidRDefault="00AF0A16" w:rsidP="008F24E8">
            <w:pPr>
              <w:spacing w:before="120" w:after="120"/>
              <w:rPr>
                <w:rFonts w:cs="Calibri"/>
                <w:sz w:val="20"/>
                <w:szCs w:val="19"/>
              </w:rPr>
            </w:pPr>
            <w:r w:rsidRPr="00DA4655">
              <w:rPr>
                <w:rFonts w:cs="Calibri"/>
                <w:sz w:val="20"/>
                <w:szCs w:val="19"/>
              </w:rPr>
              <w:t>21,234 FTE students enrolled in 2012</w:t>
            </w:r>
          </w:p>
          <w:p w:rsidR="00AF0A16" w:rsidRPr="00DA4655" w:rsidRDefault="00AF0A16" w:rsidP="008F24E8">
            <w:pPr>
              <w:spacing w:before="120" w:after="120"/>
              <w:rPr>
                <w:rFonts w:cs="Calibri"/>
                <w:sz w:val="20"/>
                <w:szCs w:val="19"/>
              </w:rPr>
            </w:pPr>
            <w:r w:rsidRPr="00DA4655">
              <w:rPr>
                <w:rFonts w:cs="Calibri"/>
                <w:sz w:val="20"/>
                <w:szCs w:val="19"/>
              </w:rPr>
              <w:t xml:space="preserve">185.35 FTE staff allocated to EALD support ($18.2mill.) </w:t>
            </w:r>
          </w:p>
        </w:tc>
        <w:tc>
          <w:tcPr>
            <w:tcW w:w="6696" w:type="dxa"/>
            <w:vAlign w:val="center"/>
          </w:tcPr>
          <w:p w:rsidR="00AF0A16" w:rsidRPr="00DA4655" w:rsidRDefault="00AF0A16" w:rsidP="008F24E8">
            <w:pPr>
              <w:spacing w:before="120" w:after="120"/>
              <w:rPr>
                <w:rFonts w:cs="Calibri"/>
                <w:sz w:val="20"/>
                <w:szCs w:val="19"/>
              </w:rPr>
            </w:pPr>
            <w:r w:rsidRPr="00DA4655">
              <w:rPr>
                <w:rFonts w:cs="Calibri"/>
                <w:sz w:val="20"/>
                <w:szCs w:val="19"/>
              </w:rPr>
              <w:t>ESL funding is based on a “gap” model, where the ESL support category, and hence, ESL allocations are determined by the gap between students’ language level and the language required for curriculum success at each year level of schooling.</w:t>
            </w:r>
          </w:p>
          <w:p w:rsidR="00AF0A16" w:rsidRPr="00DA4655" w:rsidRDefault="00AF0A16" w:rsidP="008F24E8">
            <w:pPr>
              <w:spacing w:before="120" w:after="120"/>
              <w:rPr>
                <w:rFonts w:eastAsia="Times New Roman" w:cs="Calibri"/>
                <w:sz w:val="20"/>
                <w:szCs w:val="19"/>
                <w:lang w:eastAsia="en-AU"/>
              </w:rPr>
            </w:pPr>
            <w:r w:rsidRPr="00DA4655">
              <w:rPr>
                <w:rFonts w:eastAsia="Times New Roman" w:cs="Calibri"/>
                <w:sz w:val="20"/>
                <w:szCs w:val="19"/>
                <w:lang w:eastAsia="en-AU"/>
              </w:rPr>
              <w:t xml:space="preserve">ESL Scales are used in South Australia with students assessed and provided with a category which is linked to funding.  </w:t>
            </w:r>
          </w:p>
          <w:p w:rsidR="00AF0A16" w:rsidRPr="00DA4655" w:rsidRDefault="00AF0A16" w:rsidP="008F24E8">
            <w:pPr>
              <w:spacing w:before="120" w:after="120"/>
              <w:rPr>
                <w:rFonts w:eastAsia="Times New Roman" w:cs="Calibri"/>
                <w:sz w:val="20"/>
                <w:szCs w:val="19"/>
                <w:lang w:eastAsia="en-AU"/>
              </w:rPr>
            </w:pPr>
            <w:r w:rsidRPr="00DA4655">
              <w:rPr>
                <w:rFonts w:eastAsia="Times New Roman" w:cs="Calibri"/>
                <w:sz w:val="20"/>
                <w:szCs w:val="19"/>
                <w:lang w:eastAsia="en-AU"/>
              </w:rPr>
              <w:t>An internal moderation process is used and DET SA externally moderate 40 randomly selected schools a year</w:t>
            </w:r>
          </w:p>
        </w:tc>
        <w:tc>
          <w:tcPr>
            <w:tcW w:w="3969" w:type="dxa"/>
            <w:vAlign w:val="center"/>
          </w:tcPr>
          <w:p w:rsidR="00AF0A16" w:rsidRPr="00DA4655" w:rsidRDefault="00AF0A16" w:rsidP="008F24E8">
            <w:pPr>
              <w:spacing w:before="120" w:after="120"/>
              <w:rPr>
                <w:rFonts w:eastAsia="Times New Roman" w:cs="Calibri"/>
                <w:sz w:val="20"/>
                <w:szCs w:val="19"/>
                <w:lang w:eastAsia="en-AU"/>
              </w:rPr>
            </w:pPr>
            <w:r w:rsidRPr="00DA4655">
              <w:rPr>
                <w:rFonts w:eastAsia="Times New Roman" w:cs="Calibri"/>
                <w:sz w:val="20"/>
                <w:szCs w:val="19"/>
                <w:lang w:eastAsia="en-AU"/>
              </w:rPr>
              <w:t xml:space="preserve">To determine students’ ESL support category, assessment of students’ language skills using the ESL Scales is required. ESL </w:t>
            </w:r>
            <w:proofErr w:type="gramStart"/>
            <w:r w:rsidRPr="00DA4655">
              <w:rPr>
                <w:rFonts w:eastAsia="Times New Roman" w:cs="Calibri"/>
                <w:sz w:val="20"/>
                <w:szCs w:val="19"/>
                <w:lang w:eastAsia="en-AU"/>
              </w:rPr>
              <w:t>Scales</w:t>
            </w:r>
            <w:proofErr w:type="gramEnd"/>
            <w:r w:rsidRPr="00DA4655">
              <w:rPr>
                <w:rFonts w:eastAsia="Times New Roman" w:cs="Calibri"/>
                <w:sz w:val="20"/>
                <w:szCs w:val="19"/>
                <w:lang w:eastAsia="en-AU"/>
              </w:rPr>
              <w:t xml:space="preserve"> information for all students is updated at least annually during either term 1 or term 2 to ensure allocations are based on current need. </w:t>
            </w:r>
          </w:p>
        </w:tc>
      </w:tr>
      <w:tr w:rsidR="00AF0A16" w:rsidRPr="00DA4655" w:rsidTr="008F24E8">
        <w:trPr>
          <w:cantSplit/>
          <w:trHeight w:val="1134"/>
        </w:trPr>
        <w:tc>
          <w:tcPr>
            <w:tcW w:w="1526" w:type="dxa"/>
            <w:vAlign w:val="center"/>
          </w:tcPr>
          <w:p w:rsidR="00AF0A16" w:rsidRPr="00DA4655" w:rsidRDefault="00AF0A16" w:rsidP="008F24E8">
            <w:pPr>
              <w:spacing w:before="120" w:after="120"/>
              <w:rPr>
                <w:rFonts w:eastAsia="Times New Roman" w:cs="Calibri"/>
                <w:b/>
                <w:szCs w:val="19"/>
                <w:lang w:eastAsia="en-AU"/>
              </w:rPr>
            </w:pPr>
            <w:r w:rsidRPr="00DA4655">
              <w:rPr>
                <w:rFonts w:eastAsia="Times New Roman" w:cs="Calibri"/>
                <w:b/>
                <w:szCs w:val="19"/>
                <w:lang w:eastAsia="en-AU"/>
              </w:rPr>
              <w:t>WESTERN AUSTRALIA</w:t>
            </w:r>
          </w:p>
        </w:tc>
        <w:tc>
          <w:tcPr>
            <w:tcW w:w="2835" w:type="dxa"/>
            <w:vAlign w:val="center"/>
          </w:tcPr>
          <w:p w:rsidR="00AF0A16" w:rsidRPr="00DA4655" w:rsidRDefault="00AF0A16" w:rsidP="008F24E8">
            <w:pPr>
              <w:spacing w:before="120" w:after="120"/>
              <w:rPr>
                <w:rFonts w:cs="Calibri"/>
                <w:sz w:val="20"/>
                <w:szCs w:val="19"/>
              </w:rPr>
            </w:pPr>
            <w:r w:rsidRPr="00DA4655">
              <w:rPr>
                <w:rFonts w:cs="Calibri"/>
                <w:sz w:val="20"/>
                <w:szCs w:val="19"/>
              </w:rPr>
              <w:t>In 2010, ESL/ESD programs operated in 118 schools to develop Standard Australian English and enable students to access the mainstream curriculum.</w:t>
            </w:r>
          </w:p>
          <w:p w:rsidR="00AF0A16" w:rsidRPr="00DA4655" w:rsidRDefault="00AF0A16" w:rsidP="008F24E8">
            <w:pPr>
              <w:spacing w:before="120" w:after="120"/>
              <w:rPr>
                <w:rFonts w:cs="Calibri"/>
                <w:sz w:val="20"/>
                <w:szCs w:val="19"/>
              </w:rPr>
            </w:pPr>
            <w:r w:rsidRPr="00DA4655">
              <w:rPr>
                <w:rFonts w:cs="Calibri"/>
                <w:sz w:val="20"/>
                <w:szCs w:val="19"/>
              </w:rPr>
              <w:t>Specialist programs supported 7729 students through local schools.</w:t>
            </w:r>
          </w:p>
        </w:tc>
        <w:tc>
          <w:tcPr>
            <w:tcW w:w="6696" w:type="dxa"/>
            <w:vAlign w:val="center"/>
          </w:tcPr>
          <w:p w:rsidR="00AF0A16" w:rsidRPr="00DA4655" w:rsidRDefault="00AF0A16" w:rsidP="008F24E8">
            <w:pPr>
              <w:spacing w:before="120" w:after="120"/>
              <w:rPr>
                <w:rFonts w:cs="Calibri"/>
                <w:sz w:val="20"/>
                <w:szCs w:val="19"/>
              </w:rPr>
            </w:pPr>
            <w:r w:rsidRPr="00DA4655">
              <w:rPr>
                <w:rFonts w:cs="Calibri"/>
                <w:sz w:val="20"/>
                <w:szCs w:val="19"/>
              </w:rPr>
              <w:t xml:space="preserve">The students’ level of English language competence and the time spent in Australia determines the nature of ESL/ESD support provided. </w:t>
            </w:r>
          </w:p>
          <w:p w:rsidR="00AF0A16" w:rsidRPr="00DA4655" w:rsidRDefault="00AF0A16" w:rsidP="008F24E8">
            <w:pPr>
              <w:spacing w:before="120" w:after="120"/>
              <w:rPr>
                <w:rFonts w:cs="Calibri"/>
                <w:sz w:val="20"/>
                <w:szCs w:val="19"/>
              </w:rPr>
            </w:pPr>
            <w:r w:rsidRPr="00DA4655">
              <w:rPr>
                <w:rFonts w:cs="Calibri"/>
                <w:sz w:val="20"/>
                <w:szCs w:val="19"/>
              </w:rPr>
              <w:t xml:space="preserve">Eligible new arrivals with intensive English language needs, living in the metropolitan area, were assisted through Intensive English Centres in the Canning, Swan, Fremantle-Peel and West Coast education districts. </w:t>
            </w:r>
          </w:p>
          <w:p w:rsidR="00AF0A16" w:rsidRPr="00DA4655" w:rsidRDefault="00AF0A16" w:rsidP="008F24E8">
            <w:pPr>
              <w:spacing w:before="120" w:after="120"/>
              <w:rPr>
                <w:rFonts w:cs="Calibri"/>
                <w:sz w:val="20"/>
                <w:szCs w:val="19"/>
              </w:rPr>
            </w:pPr>
            <w:r w:rsidRPr="00DA4655">
              <w:rPr>
                <w:rFonts w:cs="Calibri"/>
                <w:sz w:val="20"/>
                <w:szCs w:val="19"/>
              </w:rPr>
              <w:t>Newly arrived students in regional schools are supported through the Country Float, which provides for specialist staff and/or resource allocations.</w:t>
            </w:r>
          </w:p>
        </w:tc>
        <w:tc>
          <w:tcPr>
            <w:tcW w:w="3969" w:type="dxa"/>
            <w:vAlign w:val="center"/>
          </w:tcPr>
          <w:p w:rsidR="00AF0A16" w:rsidRPr="00DA4655" w:rsidRDefault="00AF0A16" w:rsidP="008F24E8">
            <w:pPr>
              <w:spacing w:before="120" w:after="120"/>
              <w:rPr>
                <w:rFonts w:cs="Calibri"/>
                <w:sz w:val="20"/>
                <w:szCs w:val="19"/>
              </w:rPr>
            </w:pPr>
            <w:r w:rsidRPr="00DA4655">
              <w:rPr>
                <w:rFonts w:cs="Calibri"/>
                <w:sz w:val="20"/>
                <w:szCs w:val="19"/>
              </w:rPr>
              <w:t xml:space="preserve">Programs included 14 Intensive English Centres, visiting teachers, 104 support and cell programs at local primary and secondary schools, the Country Float and the ESL/ESD Resource Centre. </w:t>
            </w:r>
          </w:p>
        </w:tc>
      </w:tr>
      <w:tr w:rsidR="00AF0A16" w:rsidRPr="00DA4655" w:rsidTr="008F24E8">
        <w:trPr>
          <w:cantSplit/>
          <w:trHeight w:val="1134"/>
        </w:trPr>
        <w:tc>
          <w:tcPr>
            <w:tcW w:w="1526" w:type="dxa"/>
            <w:vAlign w:val="center"/>
          </w:tcPr>
          <w:p w:rsidR="00AF0A16" w:rsidRPr="00DA4655" w:rsidRDefault="00AF0A16" w:rsidP="008F24E8">
            <w:pPr>
              <w:spacing w:before="120" w:after="120"/>
              <w:rPr>
                <w:rFonts w:eastAsia="Times New Roman" w:cs="Calibri"/>
                <w:b/>
                <w:szCs w:val="19"/>
                <w:lang w:eastAsia="en-AU"/>
              </w:rPr>
            </w:pPr>
            <w:r w:rsidRPr="00DA4655">
              <w:rPr>
                <w:rFonts w:eastAsia="Times New Roman" w:cs="Calibri"/>
                <w:b/>
                <w:szCs w:val="19"/>
                <w:lang w:eastAsia="en-AU"/>
              </w:rPr>
              <w:t>TASMANIA</w:t>
            </w:r>
          </w:p>
        </w:tc>
        <w:tc>
          <w:tcPr>
            <w:tcW w:w="2835" w:type="dxa"/>
            <w:vAlign w:val="center"/>
          </w:tcPr>
          <w:p w:rsidR="00AF0A16" w:rsidRPr="00DA4655" w:rsidRDefault="00AF0A16" w:rsidP="008F24E8">
            <w:pPr>
              <w:spacing w:before="120" w:after="120"/>
              <w:rPr>
                <w:rFonts w:cs="Calibri"/>
                <w:sz w:val="20"/>
                <w:szCs w:val="19"/>
              </w:rPr>
            </w:pPr>
            <w:r w:rsidRPr="00DA4655">
              <w:rPr>
                <w:rFonts w:cs="Calibri"/>
                <w:i/>
                <w:sz w:val="20"/>
                <w:szCs w:val="19"/>
              </w:rPr>
              <w:t>Information on enrolments unavailable</w:t>
            </w:r>
          </w:p>
        </w:tc>
        <w:tc>
          <w:tcPr>
            <w:tcW w:w="6696" w:type="dxa"/>
            <w:vAlign w:val="center"/>
          </w:tcPr>
          <w:p w:rsidR="00AF0A16" w:rsidRPr="00DA4655" w:rsidRDefault="00AF0A16" w:rsidP="008F24E8">
            <w:pPr>
              <w:spacing w:before="120" w:after="120"/>
              <w:rPr>
                <w:rFonts w:eastAsia="Times New Roman" w:cs="Calibri"/>
                <w:sz w:val="20"/>
                <w:szCs w:val="19"/>
                <w:lang w:eastAsia="en-AU"/>
              </w:rPr>
            </w:pPr>
            <w:r w:rsidRPr="00DA4655">
              <w:rPr>
                <w:rFonts w:eastAsia="Times New Roman" w:cs="Calibri"/>
                <w:i/>
                <w:sz w:val="20"/>
                <w:szCs w:val="19"/>
                <w:lang w:eastAsia="en-AU"/>
              </w:rPr>
              <w:t>Information on funding/ resourcing model unavailable</w:t>
            </w:r>
          </w:p>
        </w:tc>
        <w:tc>
          <w:tcPr>
            <w:tcW w:w="3969" w:type="dxa"/>
            <w:vAlign w:val="center"/>
          </w:tcPr>
          <w:p w:rsidR="00AF0A16" w:rsidRPr="00DA4655" w:rsidRDefault="00AF0A16" w:rsidP="008F24E8">
            <w:pPr>
              <w:spacing w:before="120" w:after="120"/>
              <w:rPr>
                <w:rFonts w:cs="Calibri"/>
                <w:sz w:val="20"/>
                <w:szCs w:val="19"/>
              </w:rPr>
            </w:pPr>
            <w:proofErr w:type="gramStart"/>
            <w:r w:rsidRPr="00DA4655">
              <w:rPr>
                <w:rFonts w:cs="Calibri"/>
                <w:sz w:val="20"/>
                <w:szCs w:val="19"/>
              </w:rPr>
              <w:t>EAL(</w:t>
            </w:r>
            <w:proofErr w:type="gramEnd"/>
            <w:r w:rsidRPr="00DA4655">
              <w:rPr>
                <w:rFonts w:cs="Calibri"/>
                <w:sz w:val="20"/>
                <w:szCs w:val="19"/>
              </w:rPr>
              <w:t>D) Programs are delivered by EAL(D) teachers and multilingual teacher assistants in schools/colleges where a large number of new arrival students enrol.</w:t>
            </w:r>
          </w:p>
          <w:p w:rsidR="00AF0A16" w:rsidRPr="00DA4655" w:rsidRDefault="00AF0A16" w:rsidP="008F24E8">
            <w:pPr>
              <w:spacing w:before="120" w:after="120"/>
              <w:rPr>
                <w:rFonts w:cs="Calibri"/>
                <w:sz w:val="20"/>
                <w:szCs w:val="19"/>
              </w:rPr>
            </w:pPr>
            <w:r w:rsidRPr="00DA4655">
              <w:rPr>
                <w:rFonts w:cs="Calibri"/>
                <w:sz w:val="20"/>
                <w:szCs w:val="19"/>
              </w:rPr>
              <w:t xml:space="preserve"> In schools where an established program is not available, </w:t>
            </w:r>
            <w:proofErr w:type="gramStart"/>
            <w:r w:rsidRPr="00DA4655">
              <w:rPr>
                <w:rFonts w:cs="Calibri"/>
                <w:sz w:val="20"/>
                <w:szCs w:val="19"/>
              </w:rPr>
              <w:t>EAL(</w:t>
            </w:r>
            <w:proofErr w:type="gramEnd"/>
            <w:r w:rsidRPr="00DA4655">
              <w:rPr>
                <w:rFonts w:cs="Calibri"/>
                <w:sz w:val="20"/>
                <w:szCs w:val="19"/>
              </w:rPr>
              <w:t xml:space="preserve">D) support is arranged on a student-by-student basis following an assessment of needs. </w:t>
            </w:r>
          </w:p>
        </w:tc>
      </w:tr>
      <w:tr w:rsidR="00AF0A16" w:rsidRPr="00DA4655" w:rsidTr="008F24E8">
        <w:trPr>
          <w:cantSplit/>
          <w:trHeight w:val="1134"/>
        </w:trPr>
        <w:tc>
          <w:tcPr>
            <w:tcW w:w="1526" w:type="dxa"/>
            <w:vAlign w:val="center"/>
          </w:tcPr>
          <w:p w:rsidR="00AF0A16" w:rsidRPr="00DA4655" w:rsidRDefault="00AF0A16" w:rsidP="008F24E8">
            <w:pPr>
              <w:spacing w:before="120" w:after="120"/>
              <w:rPr>
                <w:rFonts w:eastAsia="Times New Roman" w:cs="Calibri"/>
                <w:b/>
                <w:szCs w:val="19"/>
                <w:lang w:eastAsia="en-AU"/>
              </w:rPr>
            </w:pPr>
            <w:r w:rsidRPr="00DA4655">
              <w:rPr>
                <w:rFonts w:eastAsia="Times New Roman" w:cs="Calibri"/>
                <w:b/>
                <w:szCs w:val="19"/>
                <w:lang w:eastAsia="en-AU"/>
              </w:rPr>
              <w:t>NORTHERN TERRITORY</w:t>
            </w:r>
          </w:p>
        </w:tc>
        <w:tc>
          <w:tcPr>
            <w:tcW w:w="2835" w:type="dxa"/>
            <w:vAlign w:val="center"/>
          </w:tcPr>
          <w:p w:rsidR="00AF0A16" w:rsidRPr="00DA4655" w:rsidRDefault="00AF0A16" w:rsidP="008F24E8">
            <w:pPr>
              <w:spacing w:before="120" w:after="120"/>
              <w:rPr>
                <w:rFonts w:cs="Calibri"/>
                <w:sz w:val="20"/>
                <w:szCs w:val="19"/>
              </w:rPr>
            </w:pPr>
            <w:r w:rsidRPr="00DA4655">
              <w:rPr>
                <w:rFonts w:cs="Calibri"/>
                <w:sz w:val="20"/>
                <w:szCs w:val="19"/>
              </w:rPr>
              <w:t>About 40% of NT school students speak languages other than Standard Australian English at home.</w:t>
            </w:r>
          </w:p>
        </w:tc>
        <w:tc>
          <w:tcPr>
            <w:tcW w:w="6696" w:type="dxa"/>
            <w:vAlign w:val="center"/>
          </w:tcPr>
          <w:p w:rsidR="00AF0A16" w:rsidRPr="00DA4655" w:rsidRDefault="00AF0A16" w:rsidP="008F24E8">
            <w:pPr>
              <w:spacing w:before="120" w:after="120"/>
              <w:rPr>
                <w:rFonts w:eastAsia="Times New Roman" w:cs="Calibri"/>
                <w:i/>
                <w:sz w:val="20"/>
                <w:szCs w:val="19"/>
                <w:lang w:eastAsia="en-AU"/>
              </w:rPr>
            </w:pPr>
            <w:r w:rsidRPr="00DA4655">
              <w:rPr>
                <w:rFonts w:eastAsia="Times New Roman" w:cs="Calibri"/>
                <w:i/>
                <w:sz w:val="20"/>
                <w:szCs w:val="19"/>
                <w:lang w:eastAsia="en-AU"/>
              </w:rPr>
              <w:t>Information on funding/ resourcing model unavailable</w:t>
            </w:r>
          </w:p>
        </w:tc>
        <w:tc>
          <w:tcPr>
            <w:tcW w:w="3969" w:type="dxa"/>
            <w:vAlign w:val="center"/>
          </w:tcPr>
          <w:p w:rsidR="00AF0A16" w:rsidRPr="00DA4655" w:rsidRDefault="00AF0A16" w:rsidP="008F24E8">
            <w:pPr>
              <w:spacing w:before="120" w:after="120"/>
              <w:rPr>
                <w:rFonts w:cs="Calibri"/>
                <w:sz w:val="20"/>
                <w:szCs w:val="19"/>
              </w:rPr>
            </w:pPr>
            <w:r w:rsidRPr="00DA4655">
              <w:rPr>
                <w:rFonts w:cs="Calibri"/>
                <w:sz w:val="20"/>
                <w:szCs w:val="19"/>
              </w:rPr>
              <w:t>The word ‘Level’ is used in the ESL section of the NT Curriculum Framework, rather than ‘Band’, to emphasis the difference between learning English as a second language and a learner’s stage of schooling, age or cognitive ability. Students can demonstrate, for example, evidence of achieving at Band 3 in other Learning Areas while demonstrating outcomes at Level 1 in writing in English.</w:t>
            </w:r>
          </w:p>
        </w:tc>
      </w:tr>
    </w:tbl>
    <w:p w:rsidR="00AF0A16" w:rsidRPr="00BF1B49" w:rsidRDefault="00AF0A16" w:rsidP="00AF0A16">
      <w:pPr>
        <w:rPr>
          <w:i/>
          <w:sz w:val="20"/>
          <w:szCs w:val="20"/>
        </w:rPr>
      </w:pPr>
      <w:r w:rsidRPr="00BF1B49">
        <w:rPr>
          <w:i/>
          <w:sz w:val="20"/>
          <w:szCs w:val="20"/>
        </w:rPr>
        <w:t>Sources: Information summarised from Departmental websites in each state March 2012.</w:t>
      </w:r>
    </w:p>
    <w:p w:rsidR="00AF0A16" w:rsidRPr="00DA4655" w:rsidRDefault="00AF0A16" w:rsidP="00AF0A16">
      <w:pPr>
        <w:spacing w:before="120" w:after="120"/>
        <w:rPr>
          <w:rFonts w:cs="Calibri"/>
        </w:rPr>
      </w:pPr>
    </w:p>
    <w:p w:rsidR="00AF0A16" w:rsidRPr="00DA4655" w:rsidRDefault="00AF0A16" w:rsidP="00AF0A16">
      <w:pPr>
        <w:spacing w:before="120" w:after="120"/>
        <w:rPr>
          <w:b/>
          <w:i/>
        </w:rPr>
        <w:sectPr w:rsidR="00AF0A16" w:rsidRPr="00DA4655" w:rsidSect="00F34345">
          <w:pgSz w:w="16838" w:h="11906" w:orient="landscape"/>
          <w:pgMar w:top="567" w:right="1103" w:bottom="426" w:left="993" w:header="708" w:footer="0" w:gutter="0"/>
          <w:cols w:space="708"/>
          <w:docGrid w:linePitch="360"/>
        </w:sectPr>
      </w:pPr>
    </w:p>
    <w:p w:rsidR="00B90BC2" w:rsidRDefault="00AF0A16" w:rsidP="00C13B7C">
      <w:pPr>
        <w:pStyle w:val="Heading2"/>
      </w:pPr>
      <w:bookmarkStart w:id="114" w:name="_Toc322083128"/>
      <w:r>
        <w:t>Appendix 2</w:t>
      </w:r>
      <w:r w:rsidR="00B90BC2" w:rsidRPr="00B90BC2">
        <w:tab/>
        <w:t>ESL Action Plan 2011-2013</w:t>
      </w:r>
      <w:bookmarkEnd w:id="114"/>
    </w:p>
    <w:p w:rsidR="0030553F" w:rsidRDefault="0030553F" w:rsidP="0030553F">
      <w:pPr>
        <w:spacing w:before="120" w:after="120"/>
        <w:jc w:val="center"/>
        <w:rPr>
          <w:b/>
          <w:sz w:val="24"/>
          <w:szCs w:val="24"/>
          <w:lang w:val="en-US"/>
        </w:rPr>
      </w:pPr>
    </w:p>
    <w:p w:rsidR="0030553F" w:rsidRPr="00B90BC2" w:rsidRDefault="0030553F" w:rsidP="0030553F">
      <w:pPr>
        <w:spacing w:before="120" w:after="120"/>
        <w:jc w:val="center"/>
        <w:rPr>
          <w:b/>
          <w:sz w:val="24"/>
          <w:szCs w:val="24"/>
          <w:lang w:val="en-US"/>
        </w:rPr>
        <w:sectPr w:rsidR="0030553F" w:rsidRPr="00B90BC2" w:rsidSect="008F64E2">
          <w:type w:val="continuous"/>
          <w:pgSz w:w="11906" w:h="16838"/>
          <w:pgMar w:top="1560" w:right="991" w:bottom="1276" w:left="1440" w:header="708" w:footer="0" w:gutter="0"/>
          <w:cols w:space="708"/>
          <w:docGrid w:linePitch="360"/>
        </w:sectPr>
      </w:pPr>
    </w:p>
    <w:tbl>
      <w:tblPr>
        <w:tblpPr w:leftFromText="187" w:rightFromText="187" w:vertAnchor="page" w:horzAnchor="margin" w:tblpXSpec="center" w:tblpY="4081"/>
        <w:tblW w:w="4000" w:type="pct"/>
        <w:tblBorders>
          <w:left w:val="single" w:sz="18" w:space="0" w:color="4F81BD"/>
        </w:tblBorders>
        <w:tblLook w:val="04A0"/>
      </w:tblPr>
      <w:tblGrid>
        <w:gridCol w:w="11978"/>
      </w:tblGrid>
      <w:tr w:rsidR="00E16DFC" w:rsidRPr="00DA4655" w:rsidTr="00E16DFC">
        <w:tc>
          <w:tcPr>
            <w:tcW w:w="11386" w:type="dxa"/>
            <w:tcMar>
              <w:top w:w="216" w:type="dxa"/>
              <w:left w:w="115" w:type="dxa"/>
              <w:bottom w:w="216" w:type="dxa"/>
              <w:right w:w="115" w:type="dxa"/>
            </w:tcMar>
          </w:tcPr>
          <w:p w:rsidR="00E16DFC" w:rsidRPr="00DA4655" w:rsidRDefault="00E16DFC" w:rsidP="00504B61">
            <w:pPr>
              <w:spacing w:before="120" w:after="120"/>
              <w:rPr>
                <w:rFonts w:ascii="Cambria" w:hAnsi="Cambria"/>
              </w:rPr>
            </w:pPr>
          </w:p>
        </w:tc>
      </w:tr>
      <w:tr w:rsidR="00E16DFC" w:rsidRPr="00DA4655" w:rsidTr="00E16DFC">
        <w:tc>
          <w:tcPr>
            <w:tcW w:w="11386" w:type="dxa"/>
          </w:tcPr>
          <w:p w:rsidR="00E16DFC" w:rsidRPr="00DA4655" w:rsidRDefault="00E16DFC" w:rsidP="00504B61">
            <w:pPr>
              <w:spacing w:before="120" w:after="120"/>
              <w:rPr>
                <w:rFonts w:ascii="Cambria" w:hAnsi="Cambria"/>
                <w:sz w:val="80"/>
                <w:szCs w:val="80"/>
              </w:rPr>
            </w:pPr>
            <w:r w:rsidRPr="00DA4655">
              <w:rPr>
                <w:rFonts w:ascii="Cambria" w:hAnsi="Cambria"/>
                <w:sz w:val="72"/>
                <w:szCs w:val="72"/>
              </w:rPr>
              <w:t xml:space="preserve"> ESL Action Plan 2011-2013 </w:t>
            </w:r>
          </w:p>
        </w:tc>
      </w:tr>
      <w:tr w:rsidR="00E16DFC" w:rsidRPr="00DA4655" w:rsidTr="00E16DFC">
        <w:tc>
          <w:tcPr>
            <w:tcW w:w="11386" w:type="dxa"/>
            <w:tcMar>
              <w:top w:w="216" w:type="dxa"/>
              <w:left w:w="115" w:type="dxa"/>
              <w:bottom w:w="216" w:type="dxa"/>
              <w:right w:w="115" w:type="dxa"/>
            </w:tcMar>
          </w:tcPr>
          <w:p w:rsidR="00E16DFC" w:rsidRPr="00DA4655" w:rsidRDefault="00664B1B" w:rsidP="00504B61">
            <w:pPr>
              <w:spacing w:before="120" w:after="120"/>
              <w:rPr>
                <w:rFonts w:ascii="Cambria" w:hAnsi="Cambria"/>
              </w:rPr>
            </w:pPr>
            <w:r>
              <w:rPr>
                <w:noProof/>
                <w:lang w:eastAsia="en-AU"/>
              </w:rPr>
              <w:drawing>
                <wp:inline distT="0" distB="0" distL="0" distR="0">
                  <wp:extent cx="1864360" cy="672465"/>
                  <wp:effectExtent l="19050" t="0" r="2540" b="0"/>
                  <wp:docPr id="2" name="Picture 2" descr="ACTGov_EaT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_EaT_inline"/>
                          <pic:cNvPicPr>
                            <a:picLocks noChangeAspect="1" noChangeArrowheads="1"/>
                          </pic:cNvPicPr>
                        </pic:nvPicPr>
                        <pic:blipFill>
                          <a:blip r:embed="rId8" cstate="print"/>
                          <a:srcRect/>
                          <a:stretch>
                            <a:fillRect/>
                          </a:stretch>
                        </pic:blipFill>
                        <pic:spPr bwMode="auto">
                          <a:xfrm>
                            <a:off x="0" y="0"/>
                            <a:ext cx="1864360" cy="672465"/>
                          </a:xfrm>
                          <a:prstGeom prst="rect">
                            <a:avLst/>
                          </a:prstGeom>
                          <a:noFill/>
                          <a:ln w="9525">
                            <a:noFill/>
                            <a:miter lim="800000"/>
                            <a:headEnd/>
                            <a:tailEnd/>
                          </a:ln>
                        </pic:spPr>
                      </pic:pic>
                    </a:graphicData>
                  </a:graphic>
                </wp:inline>
              </w:drawing>
            </w:r>
          </w:p>
        </w:tc>
      </w:tr>
    </w:tbl>
    <w:p w:rsidR="00AF5222" w:rsidRDefault="00AF5222" w:rsidP="00504B61">
      <w:pPr>
        <w:spacing w:before="120" w:after="120"/>
      </w:pPr>
    </w:p>
    <w:p w:rsidR="00E16DFC" w:rsidRPr="00DA4655" w:rsidRDefault="00E16DFC" w:rsidP="00504B61">
      <w:pPr>
        <w:spacing w:before="120" w:after="120"/>
        <w:rPr>
          <w:sz w:val="20"/>
        </w:rPr>
      </w:pPr>
      <w:r w:rsidRPr="00DA4655">
        <w:br w:type="page"/>
      </w:r>
      <w:r w:rsidRPr="00DA4655">
        <w:rPr>
          <w:b/>
          <w:sz w:val="32"/>
          <w:szCs w:val="36"/>
        </w:rPr>
        <w:t>Introduction</w:t>
      </w:r>
    </w:p>
    <w:p w:rsidR="00E16DFC" w:rsidRPr="00DA4655" w:rsidRDefault="00E16DFC" w:rsidP="00504B61">
      <w:pPr>
        <w:spacing w:before="120" w:after="120"/>
        <w:rPr>
          <w:sz w:val="24"/>
          <w:szCs w:val="28"/>
        </w:rPr>
      </w:pPr>
      <w:r w:rsidRPr="00DA4655">
        <w:rPr>
          <w:sz w:val="24"/>
          <w:szCs w:val="28"/>
        </w:rPr>
        <w:t>The ESL Action Plan 2011-2013 provides clear direction for the Directorate’s support of students with a language background other than English, their schools and their teachers. The actions within the Plan are underpinned by the Directorate’s values of honesty, excellence, fairness and respect.</w:t>
      </w:r>
    </w:p>
    <w:p w:rsidR="00E16DFC" w:rsidRPr="00DA4655" w:rsidRDefault="00E16DFC" w:rsidP="00504B61">
      <w:pPr>
        <w:spacing w:before="120" w:after="120"/>
        <w:rPr>
          <w:sz w:val="24"/>
          <w:szCs w:val="28"/>
        </w:rPr>
      </w:pPr>
      <w:r w:rsidRPr="00DA4655">
        <w:rPr>
          <w:sz w:val="24"/>
          <w:szCs w:val="28"/>
        </w:rPr>
        <w:t>Our Directorate acknowledges the importance of providing ESL students with equity of access to the school and college curriculum through English language acquisition in a productive learning environment that is respectful of students’ different cultures, experiences and learning needs.</w:t>
      </w:r>
    </w:p>
    <w:p w:rsidR="00E16DFC" w:rsidRPr="00DA4655" w:rsidRDefault="00E16DFC" w:rsidP="00504B61">
      <w:pPr>
        <w:spacing w:before="120" w:after="120"/>
        <w:rPr>
          <w:sz w:val="24"/>
          <w:szCs w:val="28"/>
        </w:rPr>
      </w:pPr>
      <w:r w:rsidRPr="00DA4655">
        <w:rPr>
          <w:sz w:val="24"/>
          <w:szCs w:val="28"/>
        </w:rPr>
        <w:t>The Plan has been organised into 3 strategic priorities:</w:t>
      </w:r>
    </w:p>
    <w:p w:rsidR="00E16DFC" w:rsidRPr="00DA4655" w:rsidRDefault="00E16DFC" w:rsidP="00504B61">
      <w:pPr>
        <w:spacing w:before="120" w:after="120"/>
        <w:rPr>
          <w:sz w:val="24"/>
          <w:szCs w:val="28"/>
        </w:rPr>
      </w:pPr>
      <w:r w:rsidRPr="00DA4655">
        <w:rPr>
          <w:sz w:val="24"/>
          <w:szCs w:val="28"/>
        </w:rPr>
        <w:t>Staff are trained, qualified and well supported</w:t>
      </w:r>
    </w:p>
    <w:p w:rsidR="00E16DFC" w:rsidRPr="00DA4655" w:rsidRDefault="00E16DFC" w:rsidP="00504B61">
      <w:pPr>
        <w:spacing w:before="120" w:after="120"/>
        <w:rPr>
          <w:sz w:val="24"/>
          <w:szCs w:val="28"/>
        </w:rPr>
      </w:pPr>
      <w:r w:rsidRPr="00DA4655">
        <w:rPr>
          <w:sz w:val="24"/>
          <w:szCs w:val="28"/>
        </w:rPr>
        <w:t>Students are supported to access high quality programs</w:t>
      </w:r>
    </w:p>
    <w:p w:rsidR="00E16DFC" w:rsidRPr="00DA4655" w:rsidRDefault="00E16DFC" w:rsidP="00504B61">
      <w:pPr>
        <w:spacing w:before="120" w:after="120"/>
        <w:rPr>
          <w:sz w:val="24"/>
          <w:szCs w:val="28"/>
        </w:rPr>
      </w:pPr>
      <w:r w:rsidRPr="00DA4655">
        <w:rPr>
          <w:sz w:val="24"/>
          <w:szCs w:val="28"/>
        </w:rPr>
        <w:t>Policy and procedures are futures focussed and accountable</w:t>
      </w:r>
    </w:p>
    <w:p w:rsidR="00E16DFC" w:rsidRPr="00DA4655" w:rsidRDefault="00E16DFC" w:rsidP="00504B61">
      <w:pPr>
        <w:spacing w:before="120" w:after="120"/>
        <w:rPr>
          <w:sz w:val="24"/>
          <w:szCs w:val="28"/>
        </w:rPr>
      </w:pPr>
      <w:r w:rsidRPr="00DA4655">
        <w:rPr>
          <w:sz w:val="24"/>
          <w:szCs w:val="28"/>
        </w:rPr>
        <w:t xml:space="preserve">The priorities, performance measures and actions outlined in the Plan provide a framework for action and are a response to the 2011 ESL Audit recommendations which called for greater accountability and more effective and efficient processes and practices to support ESL students. </w:t>
      </w:r>
    </w:p>
    <w:p w:rsidR="00E16DFC" w:rsidRPr="00DA4655" w:rsidRDefault="00E16DFC" w:rsidP="00504B61">
      <w:pPr>
        <w:spacing w:before="120" w:after="120"/>
        <w:rPr>
          <w:sz w:val="20"/>
        </w:rPr>
      </w:pPr>
      <w:r w:rsidRPr="00DA4655">
        <w:rPr>
          <w:sz w:val="24"/>
          <w:szCs w:val="28"/>
        </w:rPr>
        <w:t xml:space="preserve">The Action Plan aligns with the Literacy and Numeracy Strategy 2009-2013. </w:t>
      </w:r>
    </w:p>
    <w:p w:rsidR="00AE1B0D" w:rsidRPr="00DA4655" w:rsidRDefault="00AE1B0D" w:rsidP="00504B61">
      <w:pPr>
        <w:spacing w:before="120" w:after="120"/>
        <w:rPr>
          <w:sz w:val="20"/>
        </w:rPr>
        <w:sectPr w:rsidR="00AE1B0D" w:rsidRPr="00DA4655" w:rsidSect="00F34345">
          <w:pgSz w:w="16838" w:h="11906" w:orient="landscape"/>
          <w:pgMar w:top="567" w:right="1103" w:bottom="426" w:left="993" w:header="708" w:footer="0" w:gutter="0"/>
          <w:cols w:space="708"/>
          <w:docGrid w:linePitch="360"/>
        </w:sectPr>
      </w:pPr>
    </w:p>
    <w:p w:rsidR="00AE1B0D" w:rsidRPr="00DA4655" w:rsidRDefault="00AE1B0D" w:rsidP="00E0470B">
      <w:pPr>
        <w:spacing w:before="120" w:after="0"/>
        <w:rPr>
          <w:sz w:val="32"/>
          <w:szCs w:val="36"/>
        </w:rPr>
      </w:pPr>
      <w:r w:rsidRPr="00DA4655">
        <w:rPr>
          <w:sz w:val="32"/>
          <w:szCs w:val="36"/>
        </w:rPr>
        <w:t>Strategic Priority 1: Staff are trained, qualified and well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6095"/>
        <w:gridCol w:w="1809"/>
      </w:tblGrid>
      <w:tr w:rsidR="00AE1B0D" w:rsidRPr="00DA4655" w:rsidTr="00E0470B">
        <w:tc>
          <w:tcPr>
            <w:tcW w:w="7054" w:type="dxa"/>
            <w:shd w:val="pct12" w:color="auto" w:fill="auto"/>
          </w:tcPr>
          <w:p w:rsidR="00AE1B0D" w:rsidRPr="00DA4655" w:rsidRDefault="00AE1B0D" w:rsidP="00504B61">
            <w:pPr>
              <w:spacing w:before="120" w:after="120"/>
              <w:rPr>
                <w:b/>
                <w:sz w:val="28"/>
                <w:szCs w:val="28"/>
              </w:rPr>
            </w:pPr>
            <w:r w:rsidRPr="00DA4655">
              <w:rPr>
                <w:b/>
                <w:sz w:val="28"/>
                <w:szCs w:val="28"/>
              </w:rPr>
              <w:t>Actions</w:t>
            </w:r>
          </w:p>
        </w:tc>
        <w:tc>
          <w:tcPr>
            <w:tcW w:w="6095" w:type="dxa"/>
            <w:shd w:val="pct12" w:color="auto" w:fill="auto"/>
          </w:tcPr>
          <w:p w:rsidR="00AE1B0D" w:rsidRPr="00DA4655" w:rsidRDefault="00AE1B0D" w:rsidP="00504B61">
            <w:pPr>
              <w:spacing w:before="120" w:after="120"/>
              <w:rPr>
                <w:b/>
                <w:sz w:val="28"/>
                <w:szCs w:val="28"/>
              </w:rPr>
            </w:pPr>
            <w:r w:rsidRPr="00DA4655">
              <w:rPr>
                <w:b/>
                <w:sz w:val="28"/>
                <w:szCs w:val="28"/>
              </w:rPr>
              <w:t>Performance Measures</w:t>
            </w:r>
          </w:p>
        </w:tc>
        <w:tc>
          <w:tcPr>
            <w:tcW w:w="1809" w:type="dxa"/>
            <w:shd w:val="pct12" w:color="auto" w:fill="auto"/>
          </w:tcPr>
          <w:p w:rsidR="00AE1B0D" w:rsidRPr="00DA4655" w:rsidRDefault="00AE1B0D" w:rsidP="00504B61">
            <w:pPr>
              <w:spacing w:before="120" w:after="120"/>
              <w:rPr>
                <w:b/>
                <w:sz w:val="28"/>
                <w:szCs w:val="28"/>
              </w:rPr>
            </w:pPr>
            <w:r w:rsidRPr="00DA4655">
              <w:rPr>
                <w:b/>
                <w:sz w:val="28"/>
                <w:szCs w:val="28"/>
              </w:rPr>
              <w:t>Timeline</w:t>
            </w:r>
          </w:p>
        </w:tc>
      </w:tr>
      <w:tr w:rsidR="00AE1B0D" w:rsidRPr="00DA4655" w:rsidTr="00E0470B">
        <w:tc>
          <w:tcPr>
            <w:tcW w:w="7054" w:type="dxa"/>
          </w:tcPr>
          <w:p w:rsidR="00AE1B0D" w:rsidRPr="00DA4655" w:rsidRDefault="00AE1B0D" w:rsidP="00504B61">
            <w:pPr>
              <w:spacing w:before="120" w:after="120"/>
              <w:rPr>
                <w:rFonts w:cs="Calibri"/>
                <w:bCs/>
                <w:sz w:val="24"/>
                <w:szCs w:val="24"/>
              </w:rPr>
            </w:pPr>
            <w:r w:rsidRPr="00DA4655">
              <w:rPr>
                <w:rFonts w:cs="Calibri"/>
                <w:bCs/>
                <w:sz w:val="24"/>
                <w:szCs w:val="24"/>
              </w:rPr>
              <w:t xml:space="preserve">Continue to build capacity of teachers to meet the needs of students with diverse language backgrounds through supporting schools to undertake professional learning in system endorsed courses: </w:t>
            </w:r>
          </w:p>
          <w:p w:rsidR="00AE1B0D" w:rsidRPr="00DA4655" w:rsidRDefault="00AE1B0D" w:rsidP="00504B61">
            <w:pPr>
              <w:spacing w:before="120" w:after="120"/>
              <w:rPr>
                <w:rFonts w:cs="Calibri"/>
                <w:bCs/>
                <w:sz w:val="24"/>
                <w:szCs w:val="24"/>
              </w:rPr>
            </w:pPr>
            <w:r w:rsidRPr="00DA4655">
              <w:rPr>
                <w:rFonts w:cs="Calibri"/>
                <w:bCs/>
                <w:sz w:val="24"/>
                <w:szCs w:val="24"/>
              </w:rPr>
              <w:t xml:space="preserve">Teaching ESL Students in Mainstream </w:t>
            </w:r>
          </w:p>
          <w:p w:rsidR="00AE1B0D" w:rsidRPr="00DA4655" w:rsidRDefault="00AE1B0D" w:rsidP="00504B61">
            <w:pPr>
              <w:spacing w:before="120" w:after="120"/>
              <w:rPr>
                <w:rFonts w:cs="Calibri"/>
                <w:bCs/>
                <w:sz w:val="24"/>
                <w:szCs w:val="24"/>
              </w:rPr>
            </w:pPr>
            <w:r w:rsidRPr="00DA4655">
              <w:rPr>
                <w:rFonts w:cs="Calibri"/>
                <w:bCs/>
                <w:sz w:val="24"/>
                <w:szCs w:val="24"/>
              </w:rPr>
              <w:t>Classrooms (TESMC)</w:t>
            </w:r>
          </w:p>
          <w:p w:rsidR="00AE1B0D" w:rsidRPr="00DA4655" w:rsidRDefault="00AE1B0D" w:rsidP="00504B61">
            <w:pPr>
              <w:spacing w:before="120" w:after="120"/>
              <w:rPr>
                <w:rFonts w:cs="Calibri"/>
                <w:bCs/>
                <w:sz w:val="24"/>
                <w:szCs w:val="24"/>
              </w:rPr>
            </w:pPr>
            <w:r w:rsidRPr="00DA4655">
              <w:rPr>
                <w:rFonts w:cs="Calibri"/>
                <w:bCs/>
                <w:sz w:val="24"/>
                <w:szCs w:val="24"/>
              </w:rPr>
              <w:t>ESL in the Mainstream for Early Learners (ESLMEL) courses</w:t>
            </w:r>
          </w:p>
          <w:p w:rsidR="00AE1B0D" w:rsidRPr="00DA4655" w:rsidRDefault="00AE1B0D" w:rsidP="00504B61">
            <w:pPr>
              <w:spacing w:before="120" w:after="120"/>
              <w:rPr>
                <w:rFonts w:cs="Calibri"/>
                <w:bCs/>
                <w:sz w:val="24"/>
                <w:szCs w:val="24"/>
              </w:rPr>
            </w:pPr>
            <w:r w:rsidRPr="00DA4655">
              <w:rPr>
                <w:rFonts w:cs="Calibri"/>
                <w:bCs/>
                <w:sz w:val="24"/>
                <w:szCs w:val="24"/>
              </w:rPr>
              <w:t>Incorporating Strategies for an Inclusive Curriculum (</w:t>
            </w:r>
            <w:proofErr w:type="spellStart"/>
            <w:r w:rsidRPr="00DA4655">
              <w:rPr>
                <w:rFonts w:cs="Calibri"/>
                <w:bCs/>
                <w:sz w:val="24"/>
                <w:szCs w:val="24"/>
              </w:rPr>
              <w:t>InSinc</w:t>
            </w:r>
            <w:proofErr w:type="spellEnd"/>
            <w:r w:rsidRPr="00DA4655">
              <w:rPr>
                <w:rFonts w:cs="Calibri"/>
                <w:bCs/>
                <w:sz w:val="24"/>
                <w:szCs w:val="24"/>
              </w:rPr>
              <w:t>) course for primary schools, high schools and colleges.</w:t>
            </w:r>
          </w:p>
        </w:tc>
        <w:tc>
          <w:tcPr>
            <w:tcW w:w="6095" w:type="dxa"/>
          </w:tcPr>
          <w:p w:rsidR="00AE1B0D" w:rsidRPr="00DA4655" w:rsidRDefault="00AE1B0D" w:rsidP="00504B61">
            <w:pPr>
              <w:spacing w:before="120" w:after="120"/>
            </w:pPr>
            <w:r w:rsidRPr="00DA4655">
              <w:t>Number of trained facilitators for each endorsed course</w:t>
            </w:r>
          </w:p>
          <w:p w:rsidR="00AE1B0D" w:rsidRPr="00DA4655" w:rsidRDefault="00AE1B0D" w:rsidP="00504B61">
            <w:pPr>
              <w:spacing w:before="120" w:after="120"/>
            </w:pPr>
            <w:r w:rsidRPr="00DA4655">
              <w:t>Number of participants who have undertaken endorsed courses</w:t>
            </w:r>
          </w:p>
          <w:p w:rsidR="00AE1B0D" w:rsidRPr="00DA4655" w:rsidRDefault="00AE1B0D" w:rsidP="00504B61">
            <w:pPr>
              <w:spacing w:before="120" w:after="120"/>
            </w:pPr>
            <w:r w:rsidRPr="00DA4655">
              <w:t>Number of schools who have undertaken endorsed courses</w:t>
            </w:r>
          </w:p>
          <w:p w:rsidR="00AE1B0D" w:rsidRPr="00DA4655" w:rsidRDefault="00AE1B0D" w:rsidP="00504B61">
            <w:pPr>
              <w:spacing w:before="120" w:after="120"/>
            </w:pPr>
          </w:p>
        </w:tc>
        <w:tc>
          <w:tcPr>
            <w:tcW w:w="1809" w:type="dxa"/>
          </w:tcPr>
          <w:p w:rsidR="00AE1B0D" w:rsidRPr="00DA4655" w:rsidRDefault="00AE1B0D" w:rsidP="00504B61">
            <w:pPr>
              <w:spacing w:before="120" w:after="120"/>
            </w:pPr>
            <w:r w:rsidRPr="00DA4655">
              <w:t>2011-2013</w:t>
            </w:r>
          </w:p>
        </w:tc>
      </w:tr>
      <w:tr w:rsidR="00AE1B0D" w:rsidRPr="00DA4655" w:rsidTr="00E0470B">
        <w:tc>
          <w:tcPr>
            <w:tcW w:w="7054" w:type="dxa"/>
          </w:tcPr>
          <w:p w:rsidR="00AE1B0D" w:rsidRPr="00DA4655" w:rsidRDefault="00AE1B0D" w:rsidP="00E0470B">
            <w:pPr>
              <w:spacing w:before="120" w:after="120"/>
              <w:rPr>
                <w:rFonts w:cs="Calibri"/>
                <w:bCs/>
                <w:sz w:val="24"/>
                <w:szCs w:val="24"/>
              </w:rPr>
            </w:pPr>
            <w:r w:rsidRPr="00DA4655">
              <w:rPr>
                <w:rFonts w:cs="Calibri"/>
                <w:bCs/>
                <w:sz w:val="24"/>
                <w:szCs w:val="24"/>
              </w:rPr>
              <w:t>Provide targeted professional learning related to teaching students with refugee /humanitarian backgrounds to mainstream and IEC teachers to meet the specific needs of these students.</w:t>
            </w:r>
          </w:p>
          <w:p w:rsidR="00AE1B0D" w:rsidRPr="00DA4655" w:rsidRDefault="00AE1B0D" w:rsidP="00E0470B">
            <w:pPr>
              <w:spacing w:before="120" w:after="120"/>
            </w:pPr>
          </w:p>
        </w:tc>
        <w:tc>
          <w:tcPr>
            <w:tcW w:w="6095" w:type="dxa"/>
          </w:tcPr>
          <w:p w:rsidR="00AE1B0D" w:rsidRPr="00DA4655" w:rsidRDefault="00AE1B0D" w:rsidP="00504B61">
            <w:pPr>
              <w:spacing w:before="120" w:after="120"/>
            </w:pPr>
            <w:r w:rsidRPr="00DA4655">
              <w:t>Number and range of professional learning offered</w:t>
            </w:r>
          </w:p>
          <w:p w:rsidR="00AE1B0D" w:rsidRPr="00DA4655" w:rsidRDefault="00AE1B0D" w:rsidP="00504B61">
            <w:pPr>
              <w:spacing w:before="120" w:after="120"/>
            </w:pPr>
            <w:r w:rsidRPr="00DA4655">
              <w:t>Number of mainstream and IEC teachers participating in professional learning</w:t>
            </w:r>
          </w:p>
          <w:p w:rsidR="00AE1B0D" w:rsidRPr="00DA4655" w:rsidRDefault="00AE1B0D" w:rsidP="00504B61">
            <w:pPr>
              <w:spacing w:before="120" w:after="120"/>
            </w:pPr>
          </w:p>
        </w:tc>
        <w:tc>
          <w:tcPr>
            <w:tcW w:w="1809" w:type="dxa"/>
          </w:tcPr>
          <w:p w:rsidR="00AE1B0D" w:rsidRPr="00DA4655" w:rsidRDefault="00AE1B0D" w:rsidP="00504B61">
            <w:pPr>
              <w:spacing w:before="120" w:after="120"/>
            </w:pPr>
            <w:r w:rsidRPr="00DA4655">
              <w:t>2011-2013</w:t>
            </w:r>
          </w:p>
        </w:tc>
      </w:tr>
    </w:tbl>
    <w:p w:rsidR="00067393" w:rsidRDefault="00067393" w:rsidP="00504B61">
      <w:pPr>
        <w:spacing w:before="120" w:after="120"/>
        <w:rPr>
          <w:sz w:val="32"/>
          <w:szCs w:val="36"/>
        </w:rPr>
      </w:pPr>
    </w:p>
    <w:p w:rsidR="00AE1B0D" w:rsidRPr="00DA4655" w:rsidRDefault="00067393" w:rsidP="00E0470B">
      <w:pPr>
        <w:spacing w:before="120" w:after="0"/>
        <w:rPr>
          <w:sz w:val="32"/>
          <w:szCs w:val="36"/>
        </w:rPr>
      </w:pPr>
      <w:r>
        <w:rPr>
          <w:sz w:val="32"/>
          <w:szCs w:val="36"/>
        </w:rPr>
        <w:br w:type="page"/>
      </w:r>
      <w:r w:rsidR="00AE1B0D" w:rsidRPr="00DA4655">
        <w:rPr>
          <w:sz w:val="32"/>
          <w:szCs w:val="36"/>
        </w:rPr>
        <w:t>Strategic Priority 2: Students are supported to access high quality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6095"/>
        <w:gridCol w:w="1809"/>
      </w:tblGrid>
      <w:tr w:rsidR="00AE1B0D" w:rsidRPr="00DA4655" w:rsidTr="00E0470B">
        <w:tc>
          <w:tcPr>
            <w:tcW w:w="7054" w:type="dxa"/>
            <w:shd w:val="pct12" w:color="auto" w:fill="auto"/>
          </w:tcPr>
          <w:p w:rsidR="00AE1B0D" w:rsidRPr="00DA4655" w:rsidRDefault="00AE1B0D" w:rsidP="00504B61">
            <w:pPr>
              <w:spacing w:before="120" w:after="120"/>
              <w:rPr>
                <w:b/>
                <w:sz w:val="28"/>
                <w:szCs w:val="28"/>
              </w:rPr>
            </w:pPr>
            <w:r w:rsidRPr="00DA4655">
              <w:rPr>
                <w:b/>
                <w:sz w:val="28"/>
                <w:szCs w:val="28"/>
              </w:rPr>
              <w:t>Actions</w:t>
            </w:r>
          </w:p>
        </w:tc>
        <w:tc>
          <w:tcPr>
            <w:tcW w:w="6095" w:type="dxa"/>
            <w:shd w:val="pct12" w:color="auto" w:fill="auto"/>
          </w:tcPr>
          <w:p w:rsidR="00AE1B0D" w:rsidRPr="00DA4655" w:rsidRDefault="00AE1B0D" w:rsidP="00504B61">
            <w:pPr>
              <w:spacing w:before="120" w:after="120"/>
              <w:rPr>
                <w:b/>
                <w:sz w:val="28"/>
                <w:szCs w:val="28"/>
              </w:rPr>
            </w:pPr>
            <w:r w:rsidRPr="00DA4655">
              <w:rPr>
                <w:b/>
                <w:sz w:val="28"/>
                <w:szCs w:val="28"/>
              </w:rPr>
              <w:t>Performance Measures</w:t>
            </w:r>
          </w:p>
        </w:tc>
        <w:tc>
          <w:tcPr>
            <w:tcW w:w="1809" w:type="dxa"/>
            <w:shd w:val="pct12" w:color="auto" w:fill="auto"/>
          </w:tcPr>
          <w:p w:rsidR="00AE1B0D" w:rsidRPr="00DA4655" w:rsidRDefault="00AE1B0D" w:rsidP="00504B61">
            <w:pPr>
              <w:spacing w:before="120" w:after="120"/>
              <w:rPr>
                <w:b/>
                <w:sz w:val="28"/>
                <w:szCs w:val="28"/>
              </w:rPr>
            </w:pPr>
            <w:r w:rsidRPr="00DA4655">
              <w:rPr>
                <w:b/>
                <w:sz w:val="28"/>
                <w:szCs w:val="28"/>
              </w:rPr>
              <w:t>Timeline</w:t>
            </w:r>
          </w:p>
        </w:tc>
      </w:tr>
      <w:tr w:rsidR="00AE1B0D" w:rsidRPr="00DA4655" w:rsidTr="00E0470B">
        <w:tc>
          <w:tcPr>
            <w:tcW w:w="7054" w:type="dxa"/>
          </w:tcPr>
          <w:p w:rsidR="00AE1B0D" w:rsidRPr="00DA4655" w:rsidRDefault="00AE1B0D" w:rsidP="00504B61">
            <w:pPr>
              <w:spacing w:before="120" w:after="120"/>
            </w:pPr>
            <w:r w:rsidRPr="00DA4655">
              <w:rPr>
                <w:rFonts w:cs="Calibri"/>
                <w:sz w:val="24"/>
                <w:szCs w:val="24"/>
              </w:rPr>
              <w:t xml:space="preserve">ESL transportation included in recently finalised procurement for student transport. </w:t>
            </w:r>
          </w:p>
        </w:tc>
        <w:tc>
          <w:tcPr>
            <w:tcW w:w="6095" w:type="dxa"/>
          </w:tcPr>
          <w:p w:rsidR="00AE1B0D" w:rsidRPr="00DA4655" w:rsidRDefault="00AE1B0D" w:rsidP="00504B61">
            <w:pPr>
              <w:spacing w:before="120" w:after="120"/>
            </w:pPr>
            <w:r w:rsidRPr="00DA4655">
              <w:t>Transport needs of ESL students at IECs are met</w:t>
            </w:r>
          </w:p>
        </w:tc>
        <w:tc>
          <w:tcPr>
            <w:tcW w:w="1809" w:type="dxa"/>
          </w:tcPr>
          <w:p w:rsidR="00AE1B0D" w:rsidRPr="00DA4655" w:rsidRDefault="00AE1B0D" w:rsidP="00504B61">
            <w:pPr>
              <w:spacing w:before="120" w:after="120"/>
            </w:pPr>
            <w:r w:rsidRPr="00DA4655">
              <w:t>2011</w:t>
            </w:r>
          </w:p>
        </w:tc>
      </w:tr>
      <w:tr w:rsidR="00AE1B0D" w:rsidRPr="00DA4655" w:rsidTr="00E0470B">
        <w:tc>
          <w:tcPr>
            <w:tcW w:w="7054" w:type="dxa"/>
          </w:tcPr>
          <w:p w:rsidR="00AE1B0D" w:rsidRPr="00DA4655" w:rsidRDefault="00AE1B0D" w:rsidP="00504B61">
            <w:pPr>
              <w:spacing w:before="120" w:after="120"/>
            </w:pPr>
            <w:r w:rsidRPr="00DA4655">
              <w:rPr>
                <w:rFonts w:cs="Calibri"/>
                <w:sz w:val="24"/>
                <w:szCs w:val="24"/>
              </w:rPr>
              <w:t>Develop plan for movement of primary IEC classes to North Belconnen/Gungahlin</w:t>
            </w:r>
          </w:p>
        </w:tc>
        <w:tc>
          <w:tcPr>
            <w:tcW w:w="6095" w:type="dxa"/>
          </w:tcPr>
          <w:p w:rsidR="00AE1B0D" w:rsidRPr="00DA4655" w:rsidRDefault="00AE1B0D" w:rsidP="00504B61">
            <w:pPr>
              <w:spacing w:before="120" w:after="120"/>
            </w:pPr>
            <w:r w:rsidRPr="00DA4655">
              <w:t xml:space="preserve">Plan developed and implemented </w:t>
            </w:r>
          </w:p>
        </w:tc>
        <w:tc>
          <w:tcPr>
            <w:tcW w:w="1809" w:type="dxa"/>
          </w:tcPr>
          <w:p w:rsidR="00AE1B0D" w:rsidRPr="00DA4655" w:rsidRDefault="00AE1B0D" w:rsidP="00504B61">
            <w:pPr>
              <w:spacing w:before="120" w:after="120"/>
            </w:pPr>
            <w:r w:rsidRPr="00DA4655">
              <w:t>2011</w:t>
            </w:r>
          </w:p>
        </w:tc>
      </w:tr>
      <w:tr w:rsidR="00AE1B0D" w:rsidRPr="00DA4655" w:rsidTr="00E0470B">
        <w:tc>
          <w:tcPr>
            <w:tcW w:w="7054" w:type="dxa"/>
          </w:tcPr>
          <w:p w:rsidR="00AE1B0D" w:rsidRPr="00DA4655" w:rsidRDefault="00AE1B0D" w:rsidP="00504B61">
            <w:pPr>
              <w:spacing w:before="120" w:after="120"/>
            </w:pPr>
            <w:r w:rsidRPr="00DA4655">
              <w:rPr>
                <w:rFonts w:cs="Calibri"/>
                <w:sz w:val="24"/>
                <w:szCs w:val="24"/>
              </w:rPr>
              <w:t>International Education Unit Review into support for international students with ESL needs to ensure funding supports students’ involvement in IEC classes.</w:t>
            </w:r>
          </w:p>
        </w:tc>
        <w:tc>
          <w:tcPr>
            <w:tcW w:w="6095" w:type="dxa"/>
          </w:tcPr>
          <w:p w:rsidR="00AE1B0D" w:rsidRPr="00DA4655" w:rsidRDefault="00AE1B0D" w:rsidP="00504B61">
            <w:pPr>
              <w:spacing w:before="120" w:after="120"/>
            </w:pPr>
            <w:r w:rsidRPr="00DA4655">
              <w:t>Review conducted</w:t>
            </w:r>
          </w:p>
          <w:p w:rsidR="00AE1B0D" w:rsidRPr="00DA4655" w:rsidRDefault="00AE1B0D" w:rsidP="00504B61">
            <w:pPr>
              <w:spacing w:before="120" w:after="120"/>
            </w:pPr>
            <w:r w:rsidRPr="00DA4655">
              <w:t>IECs receive funding for their international students</w:t>
            </w:r>
          </w:p>
        </w:tc>
        <w:tc>
          <w:tcPr>
            <w:tcW w:w="1809" w:type="dxa"/>
          </w:tcPr>
          <w:p w:rsidR="00AE1B0D" w:rsidRPr="00DA4655" w:rsidRDefault="00AE1B0D" w:rsidP="00504B61">
            <w:pPr>
              <w:spacing w:before="120" w:after="120"/>
            </w:pPr>
            <w:r w:rsidRPr="00DA4655">
              <w:t>2011-2012</w:t>
            </w:r>
          </w:p>
        </w:tc>
      </w:tr>
      <w:tr w:rsidR="00AE1B0D" w:rsidRPr="00DA4655" w:rsidTr="00E0470B">
        <w:tc>
          <w:tcPr>
            <w:tcW w:w="7054" w:type="dxa"/>
          </w:tcPr>
          <w:p w:rsidR="00AE1B0D" w:rsidRPr="00DA4655" w:rsidRDefault="00AE1B0D" w:rsidP="00504B61">
            <w:pPr>
              <w:spacing w:before="120" w:after="120"/>
              <w:rPr>
                <w:rFonts w:cs="Calibri"/>
                <w:sz w:val="24"/>
                <w:szCs w:val="24"/>
              </w:rPr>
            </w:pPr>
            <w:r w:rsidRPr="00DA4655">
              <w:rPr>
                <w:rFonts w:cs="Calibri"/>
                <w:sz w:val="24"/>
                <w:szCs w:val="24"/>
              </w:rPr>
              <w:t xml:space="preserve">Trial the allocation of ESL staffing points to schools for 2012 based on the August Census to provide certainty for school staffing. </w:t>
            </w:r>
          </w:p>
        </w:tc>
        <w:tc>
          <w:tcPr>
            <w:tcW w:w="6095" w:type="dxa"/>
          </w:tcPr>
          <w:p w:rsidR="00AE1B0D" w:rsidRPr="00DA4655" w:rsidRDefault="00AE1B0D" w:rsidP="00504B61">
            <w:pPr>
              <w:spacing w:before="120" w:after="120"/>
            </w:pPr>
            <w:r w:rsidRPr="00DA4655">
              <w:t>Trial conducted</w:t>
            </w:r>
          </w:p>
          <w:p w:rsidR="00AE1B0D" w:rsidRPr="00DA4655" w:rsidRDefault="00AE1B0D" w:rsidP="00504B61">
            <w:pPr>
              <w:spacing w:before="120" w:after="120"/>
            </w:pPr>
            <w:r w:rsidRPr="00DA4655">
              <w:t>Feedback from principals</w:t>
            </w:r>
          </w:p>
        </w:tc>
        <w:tc>
          <w:tcPr>
            <w:tcW w:w="1809" w:type="dxa"/>
          </w:tcPr>
          <w:p w:rsidR="00AE1B0D" w:rsidRPr="00DA4655" w:rsidRDefault="00AE1B0D" w:rsidP="00504B61">
            <w:pPr>
              <w:spacing w:before="120" w:after="120"/>
            </w:pPr>
            <w:r w:rsidRPr="00DA4655">
              <w:t>2012</w:t>
            </w:r>
          </w:p>
        </w:tc>
      </w:tr>
      <w:tr w:rsidR="00AE1B0D" w:rsidRPr="00DA4655" w:rsidTr="00E0470B">
        <w:tc>
          <w:tcPr>
            <w:tcW w:w="7054" w:type="dxa"/>
          </w:tcPr>
          <w:p w:rsidR="00AE1B0D" w:rsidRPr="00DA4655" w:rsidRDefault="00AE1B0D" w:rsidP="00504B61">
            <w:pPr>
              <w:spacing w:before="120" w:after="120"/>
              <w:rPr>
                <w:rFonts w:cs="Calibri"/>
                <w:sz w:val="24"/>
                <w:szCs w:val="24"/>
              </w:rPr>
            </w:pPr>
            <w:r w:rsidRPr="00DA4655">
              <w:rPr>
                <w:rFonts w:cs="Calibri"/>
                <w:sz w:val="24"/>
                <w:szCs w:val="24"/>
              </w:rPr>
              <w:t xml:space="preserve">Investigate the need for access to cater for secondary students on the Southside of Canberra.    </w:t>
            </w:r>
          </w:p>
        </w:tc>
        <w:tc>
          <w:tcPr>
            <w:tcW w:w="6095" w:type="dxa"/>
          </w:tcPr>
          <w:p w:rsidR="00AE1B0D" w:rsidRPr="00DA4655" w:rsidRDefault="00AE1B0D" w:rsidP="00504B61">
            <w:pPr>
              <w:spacing w:before="120" w:after="120"/>
            </w:pPr>
            <w:r w:rsidRPr="00DA4655">
              <w:t>Investigation conducted</w:t>
            </w:r>
          </w:p>
          <w:p w:rsidR="00AE1B0D" w:rsidRPr="00DA4655" w:rsidRDefault="00AE1B0D" w:rsidP="00504B61">
            <w:pPr>
              <w:spacing w:before="120" w:after="120"/>
            </w:pPr>
            <w:r w:rsidRPr="00DA4655">
              <w:t>Plan developed if required</w:t>
            </w:r>
          </w:p>
        </w:tc>
        <w:tc>
          <w:tcPr>
            <w:tcW w:w="1809" w:type="dxa"/>
          </w:tcPr>
          <w:p w:rsidR="00AE1B0D" w:rsidRPr="00DA4655" w:rsidRDefault="00AE1B0D" w:rsidP="00504B61">
            <w:pPr>
              <w:spacing w:before="120" w:after="120"/>
            </w:pPr>
            <w:r w:rsidRPr="00DA4655">
              <w:t>2012</w:t>
            </w:r>
          </w:p>
        </w:tc>
      </w:tr>
    </w:tbl>
    <w:p w:rsidR="00AE1B0D" w:rsidRPr="00DA4655" w:rsidRDefault="00AE1B0D" w:rsidP="00504B61">
      <w:pPr>
        <w:spacing w:before="120" w:after="120"/>
        <w:rPr>
          <w:sz w:val="36"/>
          <w:szCs w:val="36"/>
        </w:rPr>
      </w:pPr>
    </w:p>
    <w:p w:rsidR="00AE1B0D" w:rsidRPr="00DA4655" w:rsidRDefault="00067393" w:rsidP="00E0470B">
      <w:pPr>
        <w:spacing w:before="120" w:after="0"/>
        <w:rPr>
          <w:sz w:val="32"/>
          <w:szCs w:val="36"/>
        </w:rPr>
      </w:pPr>
      <w:r>
        <w:rPr>
          <w:sz w:val="32"/>
          <w:szCs w:val="36"/>
        </w:rPr>
        <w:br w:type="page"/>
      </w:r>
      <w:r w:rsidR="00AE1B0D" w:rsidRPr="00DA4655">
        <w:rPr>
          <w:sz w:val="32"/>
          <w:szCs w:val="36"/>
        </w:rPr>
        <w:t>Strategic Priority 3: Policy and procedures are future focussed and accountable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6095"/>
        <w:gridCol w:w="1809"/>
      </w:tblGrid>
      <w:tr w:rsidR="00AE1B0D" w:rsidRPr="00DA4655" w:rsidTr="00E0470B">
        <w:tc>
          <w:tcPr>
            <w:tcW w:w="7054" w:type="dxa"/>
            <w:shd w:val="pct12" w:color="auto" w:fill="auto"/>
          </w:tcPr>
          <w:p w:rsidR="00AE1B0D" w:rsidRPr="00DA4655" w:rsidRDefault="00AE1B0D" w:rsidP="00E0470B">
            <w:pPr>
              <w:spacing w:before="80" w:after="80"/>
              <w:rPr>
                <w:b/>
                <w:sz w:val="28"/>
                <w:szCs w:val="28"/>
              </w:rPr>
            </w:pPr>
            <w:r w:rsidRPr="00DA4655">
              <w:rPr>
                <w:b/>
                <w:sz w:val="28"/>
                <w:szCs w:val="28"/>
              </w:rPr>
              <w:t>Actions</w:t>
            </w:r>
          </w:p>
        </w:tc>
        <w:tc>
          <w:tcPr>
            <w:tcW w:w="6095" w:type="dxa"/>
            <w:shd w:val="pct12" w:color="auto" w:fill="auto"/>
          </w:tcPr>
          <w:p w:rsidR="00AE1B0D" w:rsidRPr="00DA4655" w:rsidRDefault="00AE1B0D" w:rsidP="00E0470B">
            <w:pPr>
              <w:spacing w:before="80" w:after="80"/>
              <w:rPr>
                <w:b/>
                <w:sz w:val="28"/>
                <w:szCs w:val="28"/>
              </w:rPr>
            </w:pPr>
            <w:r w:rsidRPr="00DA4655">
              <w:rPr>
                <w:b/>
                <w:sz w:val="28"/>
                <w:szCs w:val="28"/>
              </w:rPr>
              <w:t>Performance Measures</w:t>
            </w:r>
          </w:p>
        </w:tc>
        <w:tc>
          <w:tcPr>
            <w:tcW w:w="1809" w:type="dxa"/>
            <w:shd w:val="pct12" w:color="auto" w:fill="auto"/>
          </w:tcPr>
          <w:p w:rsidR="00AE1B0D" w:rsidRPr="00DA4655" w:rsidRDefault="00AE1B0D" w:rsidP="00E0470B">
            <w:pPr>
              <w:spacing w:before="80" w:after="80"/>
              <w:rPr>
                <w:b/>
                <w:sz w:val="28"/>
                <w:szCs w:val="28"/>
              </w:rPr>
            </w:pPr>
            <w:r w:rsidRPr="00DA4655">
              <w:rPr>
                <w:b/>
                <w:sz w:val="28"/>
                <w:szCs w:val="28"/>
              </w:rPr>
              <w:t>Timeline</w:t>
            </w:r>
          </w:p>
        </w:tc>
      </w:tr>
      <w:tr w:rsidR="00AE1B0D" w:rsidRPr="00DA4655" w:rsidTr="00E0470B">
        <w:tc>
          <w:tcPr>
            <w:tcW w:w="7054" w:type="dxa"/>
          </w:tcPr>
          <w:p w:rsidR="00AE1B0D" w:rsidRPr="00DA4655" w:rsidRDefault="00AE1B0D" w:rsidP="00E0470B">
            <w:pPr>
              <w:spacing w:before="80" w:after="80"/>
            </w:pPr>
            <w:r w:rsidRPr="00DA4655">
              <w:rPr>
                <w:rFonts w:cs="Calibri"/>
                <w:sz w:val="24"/>
                <w:szCs w:val="24"/>
              </w:rPr>
              <w:t>Literacy and Numeracy Reference Group, comprising Central Office staff, principals, P&amp;C Council representatives and AEU, is the peak body to coordinate ESL programs and policies.</w:t>
            </w:r>
          </w:p>
        </w:tc>
        <w:tc>
          <w:tcPr>
            <w:tcW w:w="6095" w:type="dxa"/>
          </w:tcPr>
          <w:p w:rsidR="00AE1B0D" w:rsidRPr="00DA4655" w:rsidRDefault="00AE1B0D" w:rsidP="00E0470B">
            <w:pPr>
              <w:spacing w:before="80" w:after="80"/>
            </w:pPr>
            <w:r w:rsidRPr="00DA4655">
              <w:t>Literacy and Numeracy Reference group meets as per terms of reference</w:t>
            </w:r>
          </w:p>
          <w:p w:rsidR="00AE1B0D" w:rsidRPr="00DA4655" w:rsidRDefault="00AE1B0D" w:rsidP="00E0470B">
            <w:pPr>
              <w:spacing w:before="80" w:after="80"/>
            </w:pPr>
            <w:r w:rsidRPr="00DA4655">
              <w:t>ESL related matters a standing item at Reference Group meetings</w:t>
            </w:r>
          </w:p>
        </w:tc>
        <w:tc>
          <w:tcPr>
            <w:tcW w:w="1809" w:type="dxa"/>
          </w:tcPr>
          <w:p w:rsidR="00AE1B0D" w:rsidRPr="00DA4655" w:rsidRDefault="00AE1B0D" w:rsidP="00504B61">
            <w:pPr>
              <w:spacing w:before="120" w:after="120"/>
            </w:pPr>
            <w:r w:rsidRPr="00DA4655">
              <w:t>2011-2013</w:t>
            </w:r>
          </w:p>
        </w:tc>
      </w:tr>
      <w:tr w:rsidR="00AE1B0D" w:rsidRPr="00DA4655" w:rsidTr="00E0470B">
        <w:tc>
          <w:tcPr>
            <w:tcW w:w="7054" w:type="dxa"/>
          </w:tcPr>
          <w:p w:rsidR="00AE1B0D" w:rsidRPr="00DA4655" w:rsidRDefault="00AE1B0D" w:rsidP="00E0470B">
            <w:pPr>
              <w:spacing w:before="80" w:after="80"/>
            </w:pPr>
            <w:r w:rsidRPr="00DA4655">
              <w:rPr>
                <w:rFonts w:cs="Calibri"/>
                <w:sz w:val="24"/>
                <w:szCs w:val="24"/>
              </w:rPr>
              <w:t xml:space="preserve">Develop and monitor the ESL Policy Document and ESL Mandatory Procedural Manual (i.e. Enrolment guidelines, reporting requirements, eligibility). </w:t>
            </w:r>
          </w:p>
        </w:tc>
        <w:tc>
          <w:tcPr>
            <w:tcW w:w="6095" w:type="dxa"/>
          </w:tcPr>
          <w:p w:rsidR="00AE1B0D" w:rsidRPr="00DA4655" w:rsidRDefault="00AE1B0D" w:rsidP="00E0470B">
            <w:pPr>
              <w:spacing w:before="80" w:after="80"/>
            </w:pPr>
            <w:r w:rsidRPr="00DA4655">
              <w:t>Policy and Manual written and published for 2012 school year</w:t>
            </w:r>
          </w:p>
          <w:p w:rsidR="00AE1B0D" w:rsidRPr="00DA4655" w:rsidRDefault="00AE1B0D" w:rsidP="00E0470B">
            <w:pPr>
              <w:spacing w:before="80" w:after="80"/>
            </w:pPr>
            <w:r w:rsidRPr="00DA4655">
              <w:t>Annual review of Manual</w:t>
            </w:r>
          </w:p>
        </w:tc>
        <w:tc>
          <w:tcPr>
            <w:tcW w:w="1809" w:type="dxa"/>
          </w:tcPr>
          <w:p w:rsidR="00AE1B0D" w:rsidRPr="00DA4655" w:rsidRDefault="00AE1B0D" w:rsidP="00504B61">
            <w:pPr>
              <w:spacing w:before="120" w:after="120"/>
            </w:pPr>
            <w:r w:rsidRPr="00DA4655">
              <w:t>2012- 2013</w:t>
            </w:r>
          </w:p>
        </w:tc>
      </w:tr>
      <w:tr w:rsidR="00AE1B0D" w:rsidRPr="00DA4655" w:rsidTr="00E0470B">
        <w:tc>
          <w:tcPr>
            <w:tcW w:w="7054" w:type="dxa"/>
          </w:tcPr>
          <w:p w:rsidR="00AE1B0D" w:rsidRPr="00DA4655" w:rsidRDefault="00AE1B0D" w:rsidP="00E0470B">
            <w:pPr>
              <w:spacing w:before="80" w:after="80"/>
            </w:pPr>
            <w:r w:rsidRPr="00DA4655">
              <w:rPr>
                <w:rFonts w:cs="Calibri"/>
                <w:sz w:val="24"/>
                <w:szCs w:val="24"/>
              </w:rPr>
              <w:t>Update the census assessment tasks and marking guides to ensure they reflect level of language acquisition.</w:t>
            </w:r>
          </w:p>
        </w:tc>
        <w:tc>
          <w:tcPr>
            <w:tcW w:w="6095" w:type="dxa"/>
          </w:tcPr>
          <w:p w:rsidR="00AE1B0D" w:rsidRPr="00DA4655" w:rsidRDefault="00AE1B0D" w:rsidP="00E0470B">
            <w:pPr>
              <w:spacing w:before="80" w:after="80"/>
            </w:pPr>
            <w:r w:rsidRPr="00DA4655">
              <w:t>Census tasks updated and in place</w:t>
            </w:r>
          </w:p>
        </w:tc>
        <w:tc>
          <w:tcPr>
            <w:tcW w:w="1809" w:type="dxa"/>
          </w:tcPr>
          <w:p w:rsidR="00AE1B0D" w:rsidRPr="00DA4655" w:rsidRDefault="00AE1B0D" w:rsidP="00504B61">
            <w:pPr>
              <w:spacing w:before="120" w:after="120"/>
            </w:pPr>
            <w:r w:rsidRPr="00DA4655">
              <w:t>2011-2012</w:t>
            </w:r>
          </w:p>
        </w:tc>
      </w:tr>
      <w:tr w:rsidR="00AE1B0D" w:rsidRPr="00DA4655" w:rsidTr="00E0470B">
        <w:tc>
          <w:tcPr>
            <w:tcW w:w="7054" w:type="dxa"/>
          </w:tcPr>
          <w:p w:rsidR="00AE1B0D" w:rsidRPr="00DA4655" w:rsidRDefault="00AE1B0D" w:rsidP="00E0470B">
            <w:pPr>
              <w:spacing w:before="80" w:after="80"/>
            </w:pPr>
            <w:r w:rsidRPr="00DA4655">
              <w:rPr>
                <w:rFonts w:cs="Calibri"/>
                <w:sz w:val="24"/>
                <w:szCs w:val="24"/>
              </w:rPr>
              <w:t>Work with Finance to review current funding arrangements and formula in the context of growth in demand and complexity of ESL student profile to better reflect enrolment increases.</w:t>
            </w:r>
          </w:p>
        </w:tc>
        <w:tc>
          <w:tcPr>
            <w:tcW w:w="6095" w:type="dxa"/>
          </w:tcPr>
          <w:p w:rsidR="00AE1B0D" w:rsidRPr="00DA4655" w:rsidRDefault="00AE1B0D" w:rsidP="00E0470B">
            <w:pPr>
              <w:spacing w:before="80" w:after="80"/>
            </w:pPr>
            <w:r w:rsidRPr="00DA4655">
              <w:t>ESL funding increased to support enrolment increases</w:t>
            </w:r>
          </w:p>
        </w:tc>
        <w:tc>
          <w:tcPr>
            <w:tcW w:w="1809" w:type="dxa"/>
          </w:tcPr>
          <w:p w:rsidR="00AE1B0D" w:rsidRPr="00DA4655" w:rsidRDefault="00AE1B0D" w:rsidP="00504B61">
            <w:pPr>
              <w:spacing w:before="120" w:after="120"/>
            </w:pPr>
            <w:r w:rsidRPr="00DA4655">
              <w:t>2012</w:t>
            </w:r>
          </w:p>
        </w:tc>
      </w:tr>
      <w:tr w:rsidR="00AE1B0D" w:rsidRPr="00DA4655" w:rsidTr="00E0470B">
        <w:tc>
          <w:tcPr>
            <w:tcW w:w="7054" w:type="dxa"/>
          </w:tcPr>
          <w:p w:rsidR="00AE1B0D" w:rsidRPr="00DA4655" w:rsidRDefault="00AE1B0D" w:rsidP="00E0470B">
            <w:pPr>
              <w:spacing w:before="80" w:after="80"/>
              <w:rPr>
                <w:rFonts w:cs="Calibri"/>
                <w:sz w:val="24"/>
                <w:szCs w:val="24"/>
              </w:rPr>
            </w:pPr>
            <w:r w:rsidRPr="00DA4655">
              <w:rPr>
                <w:rFonts w:cs="Calibri"/>
                <w:sz w:val="24"/>
                <w:szCs w:val="24"/>
              </w:rPr>
              <w:t>Work with Planning and Performance team to ensure appropriate data is collected at enrolment to enable effective tracking of and support for the full range of students within the ESL profile.</w:t>
            </w:r>
          </w:p>
        </w:tc>
        <w:tc>
          <w:tcPr>
            <w:tcW w:w="6095" w:type="dxa"/>
          </w:tcPr>
          <w:p w:rsidR="00AE1B0D" w:rsidRPr="00DA4655" w:rsidRDefault="00AE1B0D" w:rsidP="00E0470B">
            <w:pPr>
              <w:spacing w:before="80" w:after="80"/>
            </w:pPr>
            <w:r w:rsidRPr="00DA4655">
              <w:t>All ESL students tracked  using MAZE data</w:t>
            </w:r>
          </w:p>
        </w:tc>
        <w:tc>
          <w:tcPr>
            <w:tcW w:w="1809" w:type="dxa"/>
          </w:tcPr>
          <w:p w:rsidR="00AE1B0D" w:rsidRPr="00DA4655" w:rsidRDefault="00AE1B0D" w:rsidP="00504B61">
            <w:pPr>
              <w:spacing w:before="120" w:after="120"/>
            </w:pPr>
            <w:r w:rsidRPr="00DA4655">
              <w:t>2012</w:t>
            </w:r>
          </w:p>
        </w:tc>
      </w:tr>
      <w:tr w:rsidR="00AE1B0D" w:rsidRPr="00DA4655" w:rsidTr="00E0470B">
        <w:tc>
          <w:tcPr>
            <w:tcW w:w="7054" w:type="dxa"/>
          </w:tcPr>
          <w:p w:rsidR="00AE1B0D" w:rsidRPr="00DA4655" w:rsidDel="00213C63" w:rsidRDefault="00AE1B0D" w:rsidP="00E0470B">
            <w:pPr>
              <w:spacing w:before="80" w:after="80"/>
              <w:rPr>
                <w:rFonts w:cs="Calibri"/>
                <w:bCs/>
                <w:sz w:val="24"/>
                <w:szCs w:val="24"/>
              </w:rPr>
            </w:pPr>
            <w:r w:rsidRPr="00DA4655" w:rsidDel="00213C63">
              <w:rPr>
                <w:rFonts w:cs="Calibri"/>
                <w:sz w:val="24"/>
                <w:szCs w:val="24"/>
              </w:rPr>
              <w:t>A</w:t>
            </w:r>
            <w:r w:rsidRPr="00DA4655">
              <w:rPr>
                <w:rFonts w:cs="Calibri"/>
                <w:sz w:val="24"/>
                <w:szCs w:val="24"/>
              </w:rPr>
              <w:t>nnual analysis of NAPLAN results for Language Background Other Than English students with disaggregation of ESL students at system level undertaken to assist with priorities for professional learning and strategic planning.</w:t>
            </w:r>
          </w:p>
        </w:tc>
        <w:tc>
          <w:tcPr>
            <w:tcW w:w="6095" w:type="dxa"/>
          </w:tcPr>
          <w:p w:rsidR="00AE1B0D" w:rsidRPr="00DA4655" w:rsidRDefault="00AE1B0D" w:rsidP="00E0470B">
            <w:pPr>
              <w:spacing w:before="80" w:after="80"/>
            </w:pPr>
            <w:r w:rsidRPr="00DA4655">
              <w:t>Analysis completed</w:t>
            </w:r>
          </w:p>
          <w:p w:rsidR="00AE1B0D" w:rsidRPr="00DA4655" w:rsidRDefault="00AE1B0D" w:rsidP="00E0470B">
            <w:pPr>
              <w:spacing w:before="80" w:after="80"/>
            </w:pPr>
            <w:r w:rsidRPr="00DA4655">
              <w:t>Planning reflects analysis</w:t>
            </w:r>
          </w:p>
          <w:p w:rsidR="00AE1B0D" w:rsidRPr="00DA4655" w:rsidRDefault="00AE1B0D" w:rsidP="00E0470B">
            <w:pPr>
              <w:spacing w:before="80" w:after="80"/>
            </w:pPr>
          </w:p>
        </w:tc>
        <w:tc>
          <w:tcPr>
            <w:tcW w:w="1809" w:type="dxa"/>
          </w:tcPr>
          <w:p w:rsidR="00AE1B0D" w:rsidRPr="00DA4655" w:rsidRDefault="00AE1B0D" w:rsidP="00504B61">
            <w:pPr>
              <w:spacing w:before="120" w:after="120"/>
            </w:pPr>
            <w:r w:rsidRPr="00DA4655">
              <w:t>2011-2013</w:t>
            </w:r>
          </w:p>
        </w:tc>
      </w:tr>
      <w:tr w:rsidR="00AE1B0D" w:rsidRPr="00DA4655" w:rsidTr="00E0470B">
        <w:tc>
          <w:tcPr>
            <w:tcW w:w="7054" w:type="dxa"/>
          </w:tcPr>
          <w:p w:rsidR="00AE1B0D" w:rsidRPr="00DA4655" w:rsidRDefault="00AE1B0D" w:rsidP="00E0470B">
            <w:pPr>
              <w:spacing w:before="80" w:after="80"/>
              <w:rPr>
                <w:rFonts w:cs="Calibri"/>
                <w:sz w:val="24"/>
                <w:szCs w:val="24"/>
              </w:rPr>
            </w:pPr>
            <w:r w:rsidRPr="00DA4655">
              <w:rPr>
                <w:rFonts w:cs="Calibri"/>
                <w:bCs/>
                <w:sz w:val="24"/>
                <w:szCs w:val="24"/>
              </w:rPr>
              <w:t>Investigate inclusion of the ESL Flag to NAPLAN data to facilitate easy access to identify ESL as a separate cohort in school and system data to enable tracking of students as they progress through our schools.</w:t>
            </w:r>
          </w:p>
        </w:tc>
        <w:tc>
          <w:tcPr>
            <w:tcW w:w="6095" w:type="dxa"/>
          </w:tcPr>
          <w:p w:rsidR="00AE1B0D" w:rsidRPr="00DA4655" w:rsidRDefault="00AE1B0D" w:rsidP="00E0470B">
            <w:pPr>
              <w:spacing w:before="80" w:after="80"/>
            </w:pPr>
            <w:r w:rsidRPr="00DA4655">
              <w:t>Progress and movement of ESL students tracked</w:t>
            </w:r>
          </w:p>
        </w:tc>
        <w:tc>
          <w:tcPr>
            <w:tcW w:w="1809" w:type="dxa"/>
          </w:tcPr>
          <w:p w:rsidR="00AE1B0D" w:rsidRPr="00DA4655" w:rsidRDefault="00AE1B0D" w:rsidP="00504B61">
            <w:pPr>
              <w:spacing w:before="120" w:after="120"/>
            </w:pPr>
            <w:r w:rsidRPr="00DA4655">
              <w:t>2011-2013</w:t>
            </w:r>
          </w:p>
        </w:tc>
      </w:tr>
      <w:tr w:rsidR="00AE1B0D" w:rsidRPr="00DA4655" w:rsidTr="00E0470B">
        <w:tc>
          <w:tcPr>
            <w:tcW w:w="7054" w:type="dxa"/>
          </w:tcPr>
          <w:p w:rsidR="00AE1B0D" w:rsidRPr="00DA4655" w:rsidDel="00213C63" w:rsidRDefault="00AE1B0D" w:rsidP="00E0470B">
            <w:pPr>
              <w:spacing w:before="80" w:after="80"/>
              <w:rPr>
                <w:rFonts w:cs="Calibri"/>
                <w:bCs/>
                <w:sz w:val="24"/>
                <w:szCs w:val="24"/>
              </w:rPr>
            </w:pPr>
            <w:r w:rsidRPr="00DA4655">
              <w:rPr>
                <w:rFonts w:cs="Calibri"/>
                <w:sz w:val="24"/>
                <w:szCs w:val="24"/>
              </w:rPr>
              <w:t>Include ESL performance indicators in the self assessment matrix of the School Improvement Framework (including a self-evaluation tool).</w:t>
            </w:r>
          </w:p>
        </w:tc>
        <w:tc>
          <w:tcPr>
            <w:tcW w:w="6095" w:type="dxa"/>
          </w:tcPr>
          <w:p w:rsidR="00AE1B0D" w:rsidRPr="00DA4655" w:rsidRDefault="00AE1B0D" w:rsidP="00E0470B">
            <w:pPr>
              <w:spacing w:before="80" w:after="80"/>
            </w:pPr>
            <w:r w:rsidRPr="00DA4655">
              <w:t>Self assessment matrix and self evaluation tools developed and in use as part of regular School improvement process</w:t>
            </w:r>
          </w:p>
        </w:tc>
        <w:tc>
          <w:tcPr>
            <w:tcW w:w="1809" w:type="dxa"/>
          </w:tcPr>
          <w:p w:rsidR="00AE1B0D" w:rsidRPr="00DA4655" w:rsidRDefault="00AE1B0D" w:rsidP="00504B61">
            <w:pPr>
              <w:spacing w:before="120" w:after="120"/>
            </w:pPr>
            <w:r w:rsidRPr="00DA4655">
              <w:t>2013</w:t>
            </w:r>
          </w:p>
        </w:tc>
      </w:tr>
    </w:tbl>
    <w:p w:rsidR="00AE1B0D" w:rsidRPr="00DA4655" w:rsidRDefault="00AE1B0D" w:rsidP="00504B61">
      <w:pPr>
        <w:spacing w:before="120" w:after="120"/>
        <w:sectPr w:rsidR="00AE1B0D" w:rsidRPr="00DA4655" w:rsidSect="00F34345">
          <w:pgSz w:w="16838" w:h="11906" w:orient="landscape"/>
          <w:pgMar w:top="567" w:right="1103" w:bottom="426" w:left="993" w:header="708" w:footer="0" w:gutter="0"/>
          <w:cols w:space="708"/>
          <w:docGrid w:linePitch="360"/>
        </w:sectPr>
      </w:pPr>
    </w:p>
    <w:p w:rsidR="00050F55" w:rsidRPr="00A2363D" w:rsidRDefault="00050F55" w:rsidP="00C13B7C">
      <w:pPr>
        <w:pStyle w:val="Heading2"/>
      </w:pPr>
      <w:bookmarkStart w:id="115" w:name="_Toc322083129"/>
      <w:bookmarkStart w:id="116" w:name="_Toc320010950"/>
      <w:r w:rsidRPr="00A2363D">
        <w:t xml:space="preserve">Appendix </w:t>
      </w:r>
      <w:r>
        <w:t>3</w:t>
      </w:r>
      <w:r w:rsidRPr="00A2363D">
        <w:t xml:space="preserve"> </w:t>
      </w:r>
      <w:r w:rsidRPr="00A2363D">
        <w:tab/>
        <w:t>Professional Learning, Resources and Support for teachers</w:t>
      </w:r>
      <w:bookmarkEnd w:id="115"/>
    </w:p>
    <w:p w:rsidR="00050F55" w:rsidRDefault="00050F55" w:rsidP="00C13B7C">
      <w:pPr>
        <w:pStyle w:val="Heading2"/>
        <w:sectPr w:rsidR="00050F55" w:rsidSect="006464CF">
          <w:footerReference w:type="default" r:id="rId10"/>
          <w:pgSz w:w="11906" w:h="16838" w:code="9"/>
          <w:pgMar w:top="1418" w:right="992" w:bottom="1276" w:left="1134" w:header="170" w:footer="0" w:gutter="0"/>
          <w:cols w:space="708"/>
          <w:docGrid w:linePitch="360"/>
        </w:sectPr>
      </w:pPr>
    </w:p>
    <w:p w:rsidR="00050F55" w:rsidRPr="00C10DDF" w:rsidRDefault="00050F55" w:rsidP="00050F55">
      <w:pPr>
        <w:spacing w:before="120" w:after="120"/>
        <w:rPr>
          <w:rFonts w:cs="Calibri"/>
          <w:b/>
          <w:sz w:val="24"/>
          <w:szCs w:val="24"/>
        </w:rPr>
      </w:pPr>
      <w:r>
        <w:rPr>
          <w:rFonts w:cs="Calibri"/>
          <w:b/>
          <w:sz w:val="24"/>
          <w:szCs w:val="24"/>
          <w:lang w:val="en-US"/>
        </w:rPr>
        <w:t xml:space="preserve">Appendix 3 </w:t>
      </w:r>
      <w:r>
        <w:rPr>
          <w:rFonts w:cs="Calibri"/>
          <w:b/>
          <w:sz w:val="24"/>
          <w:szCs w:val="24"/>
          <w:lang w:val="en-US"/>
        </w:rPr>
        <w:tab/>
      </w:r>
      <w:r w:rsidRPr="00C10DDF">
        <w:rPr>
          <w:rFonts w:cs="Calibri"/>
          <w:b/>
          <w:sz w:val="24"/>
          <w:szCs w:val="24"/>
          <w:lang w:val="en-US"/>
        </w:rPr>
        <w:t>PROFESSIONAL LEARNING RESOURCES AND SUPPORT FOR TEACHERS</w:t>
      </w:r>
    </w:p>
    <w:p w:rsidR="00050F55" w:rsidRPr="00DA4655" w:rsidRDefault="00050F55" w:rsidP="00050F55">
      <w:pPr>
        <w:spacing w:before="120" w:after="120"/>
        <w:rPr>
          <w:b/>
        </w:rPr>
      </w:pPr>
      <w:r w:rsidRPr="00DA4655">
        <w:rPr>
          <w:b/>
        </w:rPr>
        <w:t>EALD PROCEDURAL MANUAL and EALD POLICY 2011</w:t>
      </w:r>
    </w:p>
    <w:p w:rsidR="00050F55" w:rsidRPr="00DA4655" w:rsidRDefault="00050F55" w:rsidP="00050F55">
      <w:pPr>
        <w:spacing w:before="120" w:after="120" w:line="240" w:lineRule="auto"/>
      </w:pPr>
      <w:r w:rsidRPr="00DA4655">
        <w:t>The EALD Procedural Manual was completed at the end of 2011 and an online version was distributed to EALD teachers for the beginning of the 2012 school year.  The final published manual was distributed to principals in early March.  The Directorate indentified the need to consolidate information previously provided through separate documents, as well as incorporate new material that would assist schools in delivering EALD programs.  The manual has been well received by EALD teachers and principals who appreciate having all the relevant information in one publication.</w:t>
      </w:r>
    </w:p>
    <w:p w:rsidR="00050F55" w:rsidRPr="00DA4655" w:rsidRDefault="00050F55" w:rsidP="00050F55">
      <w:pPr>
        <w:spacing w:before="120" w:after="120"/>
      </w:pPr>
      <w:r w:rsidRPr="00DA4655">
        <w:t>The EALD Policy was also revised in 2011 specifically to bring the policy in line with the Australian Curriculum.</w:t>
      </w:r>
      <w:r>
        <w:br/>
      </w:r>
    </w:p>
    <w:p w:rsidR="00050F55" w:rsidRPr="00DA4655" w:rsidRDefault="00050F55" w:rsidP="00050F55">
      <w:pPr>
        <w:spacing w:before="120" w:after="120"/>
        <w:rPr>
          <w:b/>
        </w:rPr>
      </w:pPr>
      <w:r w:rsidRPr="00DA4655">
        <w:rPr>
          <w:b/>
        </w:rPr>
        <w:t>NEW EALD TEACHER INDUCTION WORKSHOPS</w:t>
      </w:r>
    </w:p>
    <w:p w:rsidR="00050F55" w:rsidRPr="00DA4655" w:rsidRDefault="00050F55" w:rsidP="00050F55">
      <w:pPr>
        <w:spacing w:before="120" w:after="120" w:line="240" w:lineRule="auto"/>
        <w:rPr>
          <w:b/>
        </w:rPr>
      </w:pPr>
      <w:r w:rsidRPr="00DA4655">
        <w:t>These workshops are offered early in Term 1 each year and assist in building closer networks between EALD teachers.  They cover a range of topics targeted for teachers new to the EALD role in schools including:</w:t>
      </w:r>
    </w:p>
    <w:p w:rsidR="00050F55" w:rsidRPr="00DA4655" w:rsidRDefault="00050F55" w:rsidP="00050F55">
      <w:pPr>
        <w:numPr>
          <w:ilvl w:val="0"/>
          <w:numId w:val="15"/>
        </w:numPr>
        <w:spacing w:before="120" w:after="120" w:line="240" w:lineRule="auto"/>
      </w:pPr>
      <w:r w:rsidRPr="00DA4655">
        <w:t>EALD Directorate policy</w:t>
      </w:r>
    </w:p>
    <w:p w:rsidR="00050F55" w:rsidRPr="00DA4655" w:rsidRDefault="00050F55" w:rsidP="00050F55">
      <w:pPr>
        <w:numPr>
          <w:ilvl w:val="0"/>
          <w:numId w:val="15"/>
        </w:numPr>
        <w:spacing w:before="120" w:after="120" w:line="240" w:lineRule="auto"/>
      </w:pPr>
      <w:r w:rsidRPr="00DA4655">
        <w:t>Procedures and processes in schools and the Directorate</w:t>
      </w:r>
    </w:p>
    <w:p w:rsidR="00050F55" w:rsidRPr="00DA4655" w:rsidRDefault="00050F55" w:rsidP="00050F55">
      <w:pPr>
        <w:numPr>
          <w:ilvl w:val="0"/>
          <w:numId w:val="15"/>
        </w:numPr>
        <w:spacing w:before="120" w:after="120" w:line="240" w:lineRule="auto"/>
      </w:pPr>
      <w:r w:rsidRPr="00DA4655">
        <w:t>School based operational models</w:t>
      </w:r>
    </w:p>
    <w:p w:rsidR="00050F55" w:rsidRPr="00DA4655" w:rsidRDefault="00050F55" w:rsidP="00050F55">
      <w:pPr>
        <w:numPr>
          <w:ilvl w:val="0"/>
          <w:numId w:val="15"/>
        </w:numPr>
        <w:spacing w:before="120" w:after="120" w:line="240" w:lineRule="auto"/>
      </w:pPr>
      <w:r w:rsidRPr="00DA4655">
        <w:t>Professional learning for EALD teachers.</w:t>
      </w:r>
      <w:r>
        <w:br/>
      </w:r>
    </w:p>
    <w:p w:rsidR="00050F55" w:rsidRPr="00DA4655" w:rsidRDefault="00050F55" w:rsidP="00050F55">
      <w:pPr>
        <w:spacing w:before="120" w:after="120"/>
        <w:rPr>
          <w:b/>
        </w:rPr>
      </w:pPr>
      <w:r w:rsidRPr="00DA4655">
        <w:rPr>
          <w:b/>
        </w:rPr>
        <w:t>EALD TEACHER FORUMS</w:t>
      </w:r>
    </w:p>
    <w:p w:rsidR="00050F55" w:rsidRPr="00DA4655" w:rsidRDefault="00050F55" w:rsidP="00050F55">
      <w:pPr>
        <w:spacing w:before="120" w:after="120" w:line="240" w:lineRule="auto"/>
      </w:pPr>
      <w:r w:rsidRPr="00DA4655">
        <w:t xml:space="preserve">These forums are held each term and are used as a key teacher support and network building strategy.  The workshops are an avenue for information sharing around EALD procedures, best practice and professional learning, with highly regarded guest speakers used regularly. </w:t>
      </w:r>
      <w:r>
        <w:br/>
      </w:r>
    </w:p>
    <w:p w:rsidR="00050F55" w:rsidRPr="00DA4655" w:rsidRDefault="00050F55" w:rsidP="00050F55">
      <w:pPr>
        <w:spacing w:before="120" w:after="120"/>
        <w:rPr>
          <w:b/>
        </w:rPr>
      </w:pPr>
      <w:r w:rsidRPr="00DA4655">
        <w:rPr>
          <w:b/>
        </w:rPr>
        <w:t xml:space="preserve">EALD (ESL) MAZE DATABASE TRAINING </w:t>
      </w:r>
    </w:p>
    <w:p w:rsidR="00050F55" w:rsidRPr="00DA4655" w:rsidRDefault="00050F55" w:rsidP="00050F55">
      <w:pPr>
        <w:spacing w:before="120" w:after="120" w:line="240" w:lineRule="auto"/>
      </w:pPr>
      <w:r w:rsidRPr="00DA4655">
        <w:t>Database training is provided to give teachers the skills to manage the ESL Census process. Using a training version of MAZE, teachers learn to access the ESL database and analyse student information for consideration in preparing for the EALD (ESL) Census. The workshops are offered as both a beginner program for new teachers and a refresher course for more experienced teachers.</w:t>
      </w:r>
      <w:r>
        <w:br/>
      </w:r>
    </w:p>
    <w:p w:rsidR="00050F55" w:rsidRPr="00DA4655" w:rsidRDefault="00050F55" w:rsidP="00050F55">
      <w:pPr>
        <w:spacing w:before="120" w:after="120"/>
        <w:rPr>
          <w:b/>
        </w:rPr>
      </w:pPr>
      <w:r w:rsidRPr="00DA4655">
        <w:rPr>
          <w:b/>
        </w:rPr>
        <w:t>EALD TEACHERS MODERATION DAY</w:t>
      </w:r>
    </w:p>
    <w:p w:rsidR="00050F55" w:rsidRDefault="00050F55" w:rsidP="00050F55">
      <w:pPr>
        <w:spacing w:before="120" w:after="120" w:line="240" w:lineRule="auto"/>
      </w:pPr>
      <w:r w:rsidRPr="00DA4655">
        <w:t xml:space="preserve">All primary and high school EALD teachers must attend the mandatory EALD Moderation Day Meeting held prior to the August EALD Census.  At this meeting EALD teachers compare their ratings of student work using the common tasks.  As a result of the moderation process, EALD teachers adjust their </w:t>
      </w:r>
      <w:r>
        <w:t>Language Performance Ratings (LPR)</w:t>
      </w:r>
      <w:r w:rsidRPr="00DA4655">
        <w:t xml:space="preserve"> to ensure a similar standard is maintained across the system.</w:t>
      </w:r>
      <w:r>
        <w:br/>
      </w:r>
    </w:p>
    <w:p w:rsidR="00050F55" w:rsidRPr="00DA4655" w:rsidRDefault="00050F55" w:rsidP="00050F55">
      <w:pPr>
        <w:spacing w:before="120" w:after="120"/>
        <w:rPr>
          <w:b/>
          <w:caps/>
        </w:rPr>
      </w:pPr>
      <w:r w:rsidRPr="00DA4655">
        <w:rPr>
          <w:b/>
          <w:caps/>
        </w:rPr>
        <w:t>EALD Executive Officer Support</w:t>
      </w:r>
    </w:p>
    <w:p w:rsidR="00050F55" w:rsidRPr="00DA4655" w:rsidRDefault="00050F55" w:rsidP="00050F55">
      <w:pPr>
        <w:spacing w:before="120" w:after="120" w:line="240" w:lineRule="auto"/>
      </w:pPr>
      <w:r w:rsidRPr="00DA4655">
        <w:t>The EALD Executive Officer provides considerable support to teachers.  Apart from facilitating many of the professional learning opportunities and managing the ESL Census process, other support includes providing advice:</w:t>
      </w:r>
    </w:p>
    <w:p w:rsidR="00050F55" w:rsidRPr="00DA4655" w:rsidRDefault="00050F55" w:rsidP="00050F55">
      <w:pPr>
        <w:numPr>
          <w:ilvl w:val="0"/>
          <w:numId w:val="16"/>
        </w:numPr>
        <w:spacing w:before="120" w:after="120" w:line="240" w:lineRule="auto"/>
      </w:pPr>
      <w:r w:rsidRPr="00DA4655">
        <w:t>on EALD policy and procedures, particularly in relation to the identification of EALD students and the census issues</w:t>
      </w:r>
    </w:p>
    <w:p w:rsidR="00050F55" w:rsidRPr="00DA4655" w:rsidRDefault="00050F55" w:rsidP="00050F55">
      <w:pPr>
        <w:numPr>
          <w:ilvl w:val="0"/>
          <w:numId w:val="16"/>
        </w:numPr>
        <w:spacing w:before="120" w:after="120" w:line="240" w:lineRule="auto"/>
      </w:pPr>
      <w:r w:rsidRPr="00DA4655">
        <w:t>on best practice models of operation for schools</w:t>
      </w:r>
    </w:p>
    <w:p w:rsidR="00050F55" w:rsidRPr="00DA4655" w:rsidRDefault="00050F55" w:rsidP="00050F55">
      <w:pPr>
        <w:numPr>
          <w:ilvl w:val="0"/>
          <w:numId w:val="16"/>
        </w:numPr>
        <w:spacing w:before="120" w:after="120" w:line="240" w:lineRule="auto"/>
      </w:pPr>
      <w:r w:rsidRPr="00DA4655">
        <w:t>to IECs on policy, procedures and compliance issues</w:t>
      </w:r>
    </w:p>
    <w:p w:rsidR="00050F55" w:rsidRPr="00DA4655" w:rsidRDefault="00050F55" w:rsidP="00050F55">
      <w:pPr>
        <w:numPr>
          <w:ilvl w:val="0"/>
          <w:numId w:val="16"/>
        </w:numPr>
        <w:spacing w:before="120" w:after="120" w:line="240" w:lineRule="auto"/>
      </w:pPr>
      <w:r w:rsidRPr="00DA4655">
        <w:t>to teachers on assessing EALD students with special needs</w:t>
      </w:r>
    </w:p>
    <w:p w:rsidR="00050F55" w:rsidRPr="00DA4655" w:rsidRDefault="00050F55" w:rsidP="00050F55">
      <w:pPr>
        <w:numPr>
          <w:ilvl w:val="0"/>
          <w:numId w:val="16"/>
        </w:numPr>
        <w:spacing w:before="120" w:after="120" w:line="240" w:lineRule="auto"/>
      </w:pPr>
      <w:proofErr w:type="gramStart"/>
      <w:r w:rsidRPr="00DA4655">
        <w:t>on</w:t>
      </w:r>
      <w:proofErr w:type="gramEnd"/>
      <w:r w:rsidRPr="00DA4655">
        <w:t xml:space="preserve"> meeting the needs of EALD students in Early Childhood settings</w:t>
      </w:r>
      <w:r>
        <w:t>.</w:t>
      </w:r>
      <w:r>
        <w:br/>
      </w:r>
    </w:p>
    <w:p w:rsidR="00050F55" w:rsidRPr="00DA4655" w:rsidRDefault="00050F55" w:rsidP="00050F55">
      <w:pPr>
        <w:spacing w:before="120" w:after="120"/>
        <w:rPr>
          <w:b/>
        </w:rPr>
      </w:pPr>
      <w:r w:rsidRPr="00DA4655">
        <w:rPr>
          <w:b/>
          <w:caps/>
        </w:rPr>
        <w:t>Teaching ESL Students in Mainstream Classrooms</w:t>
      </w:r>
      <w:r w:rsidRPr="00DA4655">
        <w:rPr>
          <w:b/>
        </w:rPr>
        <w:t xml:space="preserve"> (TESMC)</w:t>
      </w:r>
    </w:p>
    <w:p w:rsidR="00050F55" w:rsidRPr="00DA4655" w:rsidRDefault="00050F55" w:rsidP="00050F55">
      <w:pPr>
        <w:spacing w:before="120" w:after="120" w:line="240" w:lineRule="auto"/>
      </w:pPr>
      <w:r w:rsidRPr="00DA4655">
        <w:t>Teaching ESL students in mainstream classrooms is an innovative professional development program for all teachers working with students who are learning through a language that is not their primary language. The program:</w:t>
      </w:r>
    </w:p>
    <w:p w:rsidR="00050F55" w:rsidRPr="00DA4655" w:rsidRDefault="00050F55" w:rsidP="00050F55">
      <w:pPr>
        <w:numPr>
          <w:ilvl w:val="0"/>
          <w:numId w:val="17"/>
        </w:numPr>
        <w:spacing w:before="120" w:after="120" w:line="240" w:lineRule="auto"/>
      </w:pPr>
      <w:r w:rsidRPr="00DA4655">
        <w:t xml:space="preserve">identifies the language-related needs of ESL students and develops teaching practices that address their needs in a holistic and explicit manner </w:t>
      </w:r>
    </w:p>
    <w:p w:rsidR="00050F55" w:rsidRPr="00DA4655" w:rsidRDefault="00050F55" w:rsidP="00050F55">
      <w:pPr>
        <w:numPr>
          <w:ilvl w:val="0"/>
          <w:numId w:val="17"/>
        </w:numPr>
        <w:spacing w:before="120" w:after="120" w:line="240" w:lineRule="auto"/>
      </w:pPr>
      <w:r w:rsidRPr="00DA4655">
        <w:t xml:space="preserve">develops teachers' awareness of how to accommodate the cultural and linguistic diversity and experiences of ESL students </w:t>
      </w:r>
    </w:p>
    <w:p w:rsidR="00050F55" w:rsidRPr="00DA4655" w:rsidRDefault="00050F55" w:rsidP="00050F55">
      <w:pPr>
        <w:numPr>
          <w:ilvl w:val="0"/>
          <w:numId w:val="17"/>
        </w:numPr>
        <w:spacing w:before="120" w:after="120" w:line="240" w:lineRule="auto"/>
      </w:pPr>
      <w:r w:rsidRPr="00DA4655">
        <w:t xml:space="preserve">provides a positive context for teachers to trial suggested strategies and reflect critically and openly on their teaching </w:t>
      </w:r>
    </w:p>
    <w:p w:rsidR="00050F55" w:rsidRPr="00DA4655" w:rsidRDefault="00050F55" w:rsidP="00050F55">
      <w:pPr>
        <w:numPr>
          <w:ilvl w:val="0"/>
          <w:numId w:val="17"/>
        </w:numPr>
        <w:spacing w:before="120" w:after="120" w:line="240" w:lineRule="auto"/>
      </w:pPr>
      <w:proofErr w:type="gramStart"/>
      <w:r w:rsidRPr="00DA4655">
        <w:t>shows</w:t>
      </w:r>
      <w:proofErr w:type="gramEnd"/>
      <w:r w:rsidRPr="00DA4655">
        <w:t xml:space="preserve"> how to develop collaborative working relationships between teachers (across subject areas) through a shared understanding of how to support ESL students. </w:t>
      </w:r>
      <w:r>
        <w:br/>
      </w:r>
    </w:p>
    <w:p w:rsidR="00050F55" w:rsidRPr="00DA4655" w:rsidRDefault="00050F55" w:rsidP="00050F55">
      <w:pPr>
        <w:spacing w:before="120" w:after="120" w:line="240" w:lineRule="auto"/>
      </w:pPr>
      <w:r w:rsidRPr="00DA4655">
        <w:t xml:space="preserve">The course incorporates group workshops, classroom-based activities and highly practical readings. It provides teachers, working across the curriculum, with successful classroom strategies for improving the learning achievements of all their students—with a focus on their ESL students. Trained Tutors deliver 25 hours of face-to-face learning in nine modules which, when combined with between module readings and activities, is equivalent to more than 50 hours of professional development for teachers. </w:t>
      </w:r>
    </w:p>
    <w:p w:rsidR="00050F55" w:rsidRPr="00DA4655" w:rsidRDefault="00050F55" w:rsidP="00050F55">
      <w:pPr>
        <w:spacing w:before="120" w:after="120" w:line="240" w:lineRule="auto"/>
      </w:pPr>
      <w:r w:rsidRPr="00DA4655">
        <w:t>The University of Canberra has accredited the successful completion of the TESMC course, along with two assessment items, as equivalent to a single unit in the University’s Graduate Certificate.</w:t>
      </w:r>
    </w:p>
    <w:p w:rsidR="00050F55" w:rsidRPr="00DA4655" w:rsidRDefault="00050F55" w:rsidP="00050F55">
      <w:pPr>
        <w:spacing w:before="120" w:after="120" w:line="240" w:lineRule="auto"/>
      </w:pPr>
      <w:r w:rsidRPr="00DA4655">
        <w:t xml:space="preserve">TESMC is a South Australian developed program that the Directorate is </w:t>
      </w:r>
      <w:proofErr w:type="spellStart"/>
      <w:r w:rsidRPr="00DA4655">
        <w:t>licenced</w:t>
      </w:r>
      <w:proofErr w:type="spellEnd"/>
      <w:r w:rsidRPr="00DA4655">
        <w:t xml:space="preserve"> to present.</w:t>
      </w:r>
      <w:r>
        <w:br/>
      </w:r>
    </w:p>
    <w:p w:rsidR="00050F55" w:rsidRPr="00DA4655" w:rsidRDefault="00050F55" w:rsidP="00050F55">
      <w:pPr>
        <w:spacing w:before="120" w:after="120"/>
        <w:rPr>
          <w:b/>
        </w:rPr>
      </w:pPr>
      <w:r w:rsidRPr="00DA4655">
        <w:rPr>
          <w:b/>
          <w:caps/>
        </w:rPr>
        <w:t>ESL in the Mainstream for the Early Learner</w:t>
      </w:r>
      <w:r w:rsidRPr="00DA4655">
        <w:rPr>
          <w:b/>
        </w:rPr>
        <w:t xml:space="preserve"> (ESLMEL)</w:t>
      </w:r>
    </w:p>
    <w:p w:rsidR="00050F55" w:rsidRPr="00DA4655" w:rsidRDefault="00050F55" w:rsidP="00050F55">
      <w:pPr>
        <w:spacing w:before="120" w:after="120" w:line="240" w:lineRule="auto"/>
        <w:rPr>
          <w:b/>
        </w:rPr>
      </w:pPr>
      <w:r w:rsidRPr="00DA4655">
        <w:t>ESL in the Mainstream for the Early Learner is a professional development program for teachers working with children aged 4 to 7 years for whom English is a second or additional language. The program:</w:t>
      </w:r>
      <w:r>
        <w:br/>
      </w:r>
    </w:p>
    <w:p w:rsidR="00050F55" w:rsidRDefault="00050F55" w:rsidP="00050F55">
      <w:pPr>
        <w:numPr>
          <w:ilvl w:val="0"/>
          <w:numId w:val="18"/>
        </w:numPr>
        <w:spacing w:before="120" w:after="120" w:line="240" w:lineRule="auto"/>
      </w:pPr>
      <w:r w:rsidRPr="00DA4655">
        <w:t xml:space="preserve">enhances understanding of the language-related needs of children from non-English speaking backgrounds and of ways of meeting those needs </w:t>
      </w:r>
    </w:p>
    <w:p w:rsidR="00050F55" w:rsidRPr="00DA4655" w:rsidRDefault="00050F55" w:rsidP="00050F55">
      <w:pPr>
        <w:numPr>
          <w:ilvl w:val="0"/>
          <w:numId w:val="18"/>
        </w:numPr>
        <w:spacing w:before="120" w:after="120" w:line="240" w:lineRule="auto"/>
      </w:pPr>
      <w:r w:rsidRPr="00DA4655">
        <w:t xml:space="preserve">develops an understanding of the role of language in learning, the critical role of the adult in scaffolding children's language and the value of explicit teaching about language </w:t>
      </w:r>
    </w:p>
    <w:p w:rsidR="00050F55" w:rsidRPr="00DA4655" w:rsidRDefault="00050F55" w:rsidP="00050F55">
      <w:pPr>
        <w:numPr>
          <w:ilvl w:val="0"/>
          <w:numId w:val="18"/>
        </w:numPr>
        <w:spacing w:before="120" w:after="120" w:line="240" w:lineRule="auto"/>
      </w:pPr>
      <w:r w:rsidRPr="00DA4655">
        <w:t xml:space="preserve">further develops collaborative partnerships between educators, parents and children in early childhood settings with a focus on maintaining and developing the child's home language, their personal and cultural identity, and family and community cohesion </w:t>
      </w:r>
    </w:p>
    <w:p w:rsidR="00050F55" w:rsidRPr="00DA4655" w:rsidRDefault="00050F55" w:rsidP="00050F55">
      <w:pPr>
        <w:numPr>
          <w:ilvl w:val="0"/>
          <w:numId w:val="18"/>
        </w:numPr>
        <w:spacing w:before="120" w:after="120" w:line="240" w:lineRule="auto"/>
      </w:pPr>
      <w:proofErr w:type="gramStart"/>
      <w:r w:rsidRPr="00DA4655">
        <w:t>increases</w:t>
      </w:r>
      <w:proofErr w:type="gramEnd"/>
      <w:r w:rsidRPr="00DA4655">
        <w:t xml:space="preserve"> awareness more generally in schools of the need for specialist personnel, training, programs and materials to support ESL learners.</w:t>
      </w:r>
      <w:r>
        <w:br/>
      </w:r>
    </w:p>
    <w:p w:rsidR="00050F55" w:rsidRPr="00DA4655" w:rsidRDefault="00050F55" w:rsidP="00050F55">
      <w:pPr>
        <w:spacing w:before="120" w:after="120" w:line="240" w:lineRule="auto"/>
      </w:pPr>
      <w:r w:rsidRPr="00DA4655">
        <w:t>The course incorporates a program of classroom-based action research and readings. It provides early childhood educators working across the curriculum with successful strategies for improving the learning achievements of their ESL children.</w:t>
      </w:r>
    </w:p>
    <w:p w:rsidR="00050F55" w:rsidRPr="00DA4655" w:rsidRDefault="00050F55" w:rsidP="00050F55">
      <w:pPr>
        <w:spacing w:before="120" w:after="120" w:line="240" w:lineRule="auto"/>
      </w:pPr>
      <w:r w:rsidRPr="00DA4655">
        <w:t>Trained Tutors deliver 24 hours face-to-face learning in eight modules which, when combined with between module readings and activities, is equivalent to more than 48 hours professional development for teachers.</w:t>
      </w:r>
    </w:p>
    <w:p w:rsidR="00050F55" w:rsidRPr="00DA4655" w:rsidRDefault="00050F55" w:rsidP="00050F55">
      <w:pPr>
        <w:spacing w:before="120" w:after="120" w:line="240" w:lineRule="auto"/>
      </w:pPr>
      <w:r w:rsidRPr="00DA4655">
        <w:t xml:space="preserve">ESLMEL is also a South Australian developed program that the Directorate is </w:t>
      </w:r>
      <w:proofErr w:type="spellStart"/>
      <w:r w:rsidRPr="00DA4655">
        <w:t>licenced</w:t>
      </w:r>
      <w:proofErr w:type="spellEnd"/>
      <w:r w:rsidRPr="00DA4655">
        <w:t xml:space="preserve"> to present.</w:t>
      </w:r>
      <w:r>
        <w:br/>
      </w:r>
    </w:p>
    <w:p w:rsidR="00050F55" w:rsidRPr="00DA4655" w:rsidRDefault="00050F55" w:rsidP="00050F55">
      <w:pPr>
        <w:spacing w:before="120" w:after="120"/>
        <w:rPr>
          <w:b/>
          <w:caps/>
        </w:rPr>
      </w:pPr>
      <w:r w:rsidRPr="00DA4655">
        <w:rPr>
          <w:b/>
          <w:caps/>
        </w:rPr>
        <w:t>Incorporating Strategies for an Inclusive Curriculum (InSinc)</w:t>
      </w:r>
    </w:p>
    <w:p w:rsidR="00050F55" w:rsidRPr="00DA4655" w:rsidRDefault="00050F55" w:rsidP="00050F55">
      <w:pPr>
        <w:spacing w:before="120" w:after="120" w:line="240" w:lineRule="auto"/>
      </w:pPr>
      <w:proofErr w:type="spellStart"/>
      <w:r w:rsidRPr="00DA4655">
        <w:t>InSinc</w:t>
      </w:r>
      <w:proofErr w:type="spellEnd"/>
      <w:r w:rsidRPr="00DA4655">
        <w:t xml:space="preserve">, which evolved from the highly regarded Language of Understanding </w:t>
      </w:r>
      <w:proofErr w:type="gramStart"/>
      <w:r w:rsidRPr="00DA4655">
        <w:t>Across</w:t>
      </w:r>
      <w:proofErr w:type="gramEnd"/>
      <w:r w:rsidRPr="00DA4655">
        <w:t xml:space="preserve"> the Curriculum (LUAC) program, is a series of five 2½-hour workshops designed to enhance teaching pedagogy in all learning areas. The directorate has developed three versions of </w:t>
      </w:r>
      <w:proofErr w:type="spellStart"/>
      <w:r w:rsidRPr="00DA4655">
        <w:t>InSinc</w:t>
      </w:r>
      <w:proofErr w:type="spellEnd"/>
      <w:r w:rsidRPr="00DA4655">
        <w:t xml:space="preserve">; for primary schools, high schools and colleges. Whilst originally designed to support students of non-English speaking backgrounds, the inclusive strategies are effective in improving all students’ literacy outcomes. The emphasis on scaffolding language and literacy is beneficial for all students in all settings. </w:t>
      </w:r>
      <w:proofErr w:type="spellStart"/>
      <w:r w:rsidRPr="00DA4655">
        <w:t>InSinc</w:t>
      </w:r>
      <w:proofErr w:type="spellEnd"/>
      <w:r w:rsidRPr="00DA4655">
        <w:t xml:space="preserve"> strategies are linked to the ACT Curriculum framework and to the Quality Teaching model, and support the general capabilities of the Australian Curriculum. </w:t>
      </w:r>
      <w:r>
        <w:br/>
      </w:r>
    </w:p>
    <w:p w:rsidR="00050F55" w:rsidRPr="00DA4655" w:rsidRDefault="00050F55" w:rsidP="00050F55">
      <w:pPr>
        <w:spacing w:before="120" w:after="120"/>
        <w:rPr>
          <w:b/>
        </w:rPr>
      </w:pPr>
      <w:r w:rsidRPr="00DA4655">
        <w:rPr>
          <w:b/>
        </w:rPr>
        <w:t>TIME FOR TALK</w:t>
      </w:r>
    </w:p>
    <w:p w:rsidR="00050F55" w:rsidRPr="00DA4655" w:rsidRDefault="00050F55" w:rsidP="00050F55">
      <w:pPr>
        <w:spacing w:before="120" w:after="120" w:line="240" w:lineRule="auto"/>
      </w:pPr>
      <w:r w:rsidRPr="00DA4655">
        <w:t xml:space="preserve">This is a practical course that looks at oral language strategies to support ESL and Aboriginal and Torres Strait Islander students. The package is for use by a classroom teacher with all students but is particularly supportive of students at risk with their oral language. Time for Talk is designed to support students from Preschool to Year 2, though the strategies can be successfully used with older students as well. Time for Talk uses an assessment tool to assess children and then provides supportive activities to develop Standard Australian English whilst encouraging and building upon their home language.  </w:t>
      </w:r>
      <w:r>
        <w:br/>
      </w:r>
    </w:p>
    <w:p w:rsidR="00050F55" w:rsidRPr="00DA4655" w:rsidRDefault="00050F55" w:rsidP="00050F55">
      <w:pPr>
        <w:spacing w:before="120" w:after="120"/>
        <w:rPr>
          <w:b/>
        </w:rPr>
      </w:pPr>
      <w:r w:rsidRPr="00DA4655">
        <w:rPr>
          <w:b/>
        </w:rPr>
        <w:t>FIRST STEPS</w:t>
      </w:r>
    </w:p>
    <w:p w:rsidR="00050F55" w:rsidRPr="00DA4655" w:rsidRDefault="00050F55" w:rsidP="00050F55">
      <w:pPr>
        <w:spacing w:before="120" w:after="120" w:line="240" w:lineRule="auto"/>
        <w:rPr>
          <w:b/>
        </w:rPr>
      </w:pPr>
      <w:r w:rsidRPr="00DA4655">
        <w:t>First Steps is a professional learning course designed to build teacher confidence in effectively using detailed resource materials to support their teaching and learning program.  It provides a strategic whole-school approach to improving students’ literacy outcomes. Links between assessment and teaching are made explicit and the resource provides teachers with many practical teaching procedures and activities. The ACT Directorate offers:</w:t>
      </w:r>
    </w:p>
    <w:p w:rsidR="00050F55" w:rsidRPr="009C291C" w:rsidRDefault="00050F55" w:rsidP="00050F55">
      <w:pPr>
        <w:numPr>
          <w:ilvl w:val="0"/>
          <w:numId w:val="19"/>
        </w:numPr>
        <w:spacing w:before="120" w:after="120" w:line="240" w:lineRule="auto"/>
      </w:pPr>
      <w:r w:rsidRPr="009C291C">
        <w:t xml:space="preserve">First Steps Reading </w:t>
      </w:r>
    </w:p>
    <w:p w:rsidR="00050F55" w:rsidRPr="009C291C" w:rsidRDefault="00050F55" w:rsidP="00050F55">
      <w:pPr>
        <w:numPr>
          <w:ilvl w:val="0"/>
          <w:numId w:val="19"/>
        </w:numPr>
        <w:spacing w:before="120" w:after="120" w:line="240" w:lineRule="auto"/>
      </w:pPr>
      <w:r w:rsidRPr="009C291C">
        <w:t xml:space="preserve">First Steps Writing  </w:t>
      </w:r>
    </w:p>
    <w:p w:rsidR="00050F55" w:rsidRPr="009C291C" w:rsidRDefault="00050F55" w:rsidP="00050F55">
      <w:pPr>
        <w:numPr>
          <w:ilvl w:val="0"/>
          <w:numId w:val="19"/>
        </w:numPr>
        <w:spacing w:before="120" w:after="120" w:line="240" w:lineRule="auto"/>
      </w:pPr>
      <w:r w:rsidRPr="009C291C">
        <w:t xml:space="preserve">First Steps Speaking and Listening </w:t>
      </w:r>
      <w:r>
        <w:br/>
      </w:r>
    </w:p>
    <w:p w:rsidR="00050F55" w:rsidRPr="00DA4655" w:rsidRDefault="00050F55" w:rsidP="00050F55">
      <w:pPr>
        <w:spacing w:before="120" w:after="120"/>
        <w:rPr>
          <w:b/>
          <w:caps/>
        </w:rPr>
      </w:pPr>
      <w:r w:rsidRPr="00DA4655">
        <w:rPr>
          <w:b/>
          <w:caps/>
        </w:rPr>
        <w:t>Graduate Certificate in Scaffolding English for Speakers of Other Languages (ESOL)</w:t>
      </w:r>
    </w:p>
    <w:p w:rsidR="00050F55" w:rsidRPr="00DA4655" w:rsidRDefault="00050F55" w:rsidP="00050F55">
      <w:pPr>
        <w:spacing w:before="120" w:after="120" w:line="240" w:lineRule="auto"/>
      </w:pPr>
      <w:r w:rsidRPr="00DA4655">
        <w:t>This course aims to improve the professional knowledge and professional practice of teachers of English to Speakers of Other Languages. Upon completion of the Graduate Certificate in Scaffolding ESOL, graduates should be able to:</w:t>
      </w:r>
    </w:p>
    <w:p w:rsidR="00050F55" w:rsidRPr="00DA4655" w:rsidRDefault="00050F55" w:rsidP="00050F55">
      <w:pPr>
        <w:numPr>
          <w:ilvl w:val="0"/>
          <w:numId w:val="20"/>
        </w:numPr>
        <w:spacing w:before="120" w:after="120" w:line="240" w:lineRule="auto"/>
      </w:pPr>
      <w:r w:rsidRPr="00DA4655">
        <w:t>incorporate understandings of first and second language development in planning for and teaching of ESOL</w:t>
      </w:r>
    </w:p>
    <w:p w:rsidR="00050F55" w:rsidRPr="00DA4655" w:rsidRDefault="00050F55" w:rsidP="00050F55">
      <w:pPr>
        <w:numPr>
          <w:ilvl w:val="0"/>
          <w:numId w:val="20"/>
        </w:numPr>
        <w:spacing w:before="120" w:after="120" w:line="240" w:lineRule="auto"/>
      </w:pPr>
      <w:r w:rsidRPr="00DA4655">
        <w:t>demonstrate a principled knowledge about language in their teaching of oral and written English</w:t>
      </w:r>
    </w:p>
    <w:p w:rsidR="00050F55" w:rsidRPr="00DA4655" w:rsidRDefault="00050F55" w:rsidP="00050F55">
      <w:pPr>
        <w:numPr>
          <w:ilvl w:val="0"/>
          <w:numId w:val="20"/>
        </w:numPr>
        <w:spacing w:before="120" w:after="120" w:line="240" w:lineRule="auto"/>
      </w:pPr>
      <w:r w:rsidRPr="00DA4655">
        <w:t>scaffold students' learning of English through different subject areas across the curriculum</w:t>
      </w:r>
    </w:p>
    <w:p w:rsidR="00050F55" w:rsidRPr="00DA4655" w:rsidRDefault="00050F55" w:rsidP="00050F55">
      <w:pPr>
        <w:numPr>
          <w:ilvl w:val="0"/>
          <w:numId w:val="20"/>
        </w:numPr>
        <w:spacing w:before="120" w:after="120" w:line="240" w:lineRule="auto"/>
      </w:pPr>
      <w:r w:rsidRPr="00DA4655">
        <w:t>demonstrate understandings of socio-cultural factors influencing second language development</w:t>
      </w:r>
    </w:p>
    <w:p w:rsidR="00050F55" w:rsidRPr="00DA4655" w:rsidRDefault="00050F55" w:rsidP="00050F55">
      <w:pPr>
        <w:numPr>
          <w:ilvl w:val="0"/>
          <w:numId w:val="20"/>
        </w:numPr>
        <w:spacing w:before="120" w:after="120" w:line="240" w:lineRule="auto"/>
      </w:pPr>
      <w:r w:rsidRPr="00DA4655">
        <w:t>develop skills in effective collaboration between mainstream and ESOL specialist teachers</w:t>
      </w:r>
    </w:p>
    <w:p w:rsidR="00050F55" w:rsidRPr="00DA4655" w:rsidRDefault="00050F55" w:rsidP="00050F55">
      <w:pPr>
        <w:numPr>
          <w:ilvl w:val="0"/>
          <w:numId w:val="20"/>
        </w:numPr>
        <w:spacing w:before="120" w:after="120" w:line="240" w:lineRule="auto"/>
      </w:pPr>
      <w:r w:rsidRPr="00DA4655">
        <w:t>understand the changing role of the ESOL teacher in a local, national and global context</w:t>
      </w:r>
    </w:p>
    <w:p w:rsidR="00050F55" w:rsidRPr="00DA4655" w:rsidRDefault="00050F55" w:rsidP="00050F55">
      <w:pPr>
        <w:numPr>
          <w:ilvl w:val="0"/>
          <w:numId w:val="20"/>
        </w:numPr>
        <w:spacing w:before="120" w:after="120" w:line="240" w:lineRule="auto"/>
      </w:pPr>
      <w:r w:rsidRPr="00DA4655">
        <w:t>articulate and communicate their role to key school executive, colleagues and the wider community</w:t>
      </w:r>
    </w:p>
    <w:p w:rsidR="00050F55" w:rsidRPr="00DA4655" w:rsidRDefault="00050F55" w:rsidP="00050F55">
      <w:pPr>
        <w:numPr>
          <w:ilvl w:val="0"/>
          <w:numId w:val="20"/>
        </w:numPr>
        <w:spacing w:before="120" w:after="120" w:line="240" w:lineRule="auto"/>
      </w:pPr>
      <w:r w:rsidRPr="00DA4655">
        <w:t>implement appropriate strategies to address the role and use of the ESL Scales in assessing and reporting on student needs and achievements in learning English</w:t>
      </w:r>
    </w:p>
    <w:p w:rsidR="00050F55" w:rsidRPr="00DA4655" w:rsidRDefault="00050F55" w:rsidP="00050F55">
      <w:pPr>
        <w:numPr>
          <w:ilvl w:val="0"/>
          <w:numId w:val="20"/>
        </w:numPr>
        <w:spacing w:before="120" w:after="120" w:line="240" w:lineRule="auto"/>
      </w:pPr>
      <w:r w:rsidRPr="00DA4655">
        <w:t>incorporate understandings of cultural diversity and multiculturalism in teaching and learning activities</w:t>
      </w:r>
    </w:p>
    <w:p w:rsidR="00050F55" w:rsidRPr="00DA4655" w:rsidRDefault="00050F55" w:rsidP="00050F55">
      <w:pPr>
        <w:numPr>
          <w:ilvl w:val="0"/>
          <w:numId w:val="20"/>
        </w:numPr>
        <w:spacing w:before="120" w:after="120" w:line="240" w:lineRule="auto"/>
      </w:pPr>
      <w:r w:rsidRPr="00DA4655">
        <w:t>demonstrate understanding of departmental policies, priorities and practices relevant to English</w:t>
      </w:r>
      <w:r>
        <w:t xml:space="preserve"> as a second language (ESL)</w:t>
      </w:r>
    </w:p>
    <w:p w:rsidR="00050F55" w:rsidRPr="00DA4655" w:rsidRDefault="00050F55" w:rsidP="00050F55">
      <w:pPr>
        <w:numPr>
          <w:ilvl w:val="0"/>
          <w:numId w:val="20"/>
        </w:numPr>
        <w:spacing w:before="120" w:after="120" w:line="240" w:lineRule="auto"/>
      </w:pPr>
      <w:proofErr w:type="gramStart"/>
      <w:r w:rsidRPr="00DA4655">
        <w:t>critically</w:t>
      </w:r>
      <w:proofErr w:type="gramEnd"/>
      <w:r w:rsidRPr="00DA4655">
        <w:t xml:space="preserve"> reflect on their understandings and application of ESL curriculum and pedagogy during professional experiences in schools.</w:t>
      </w:r>
      <w:r>
        <w:br/>
      </w:r>
    </w:p>
    <w:p w:rsidR="00050F55" w:rsidRPr="00DA4655" w:rsidRDefault="00050F55" w:rsidP="00050F55">
      <w:pPr>
        <w:spacing w:before="120" w:after="120" w:line="240" w:lineRule="auto"/>
        <w:rPr>
          <w:caps/>
        </w:rPr>
      </w:pPr>
      <w:r w:rsidRPr="00DA4655">
        <w:rPr>
          <w:b/>
          <w:caps/>
        </w:rPr>
        <w:t>ACARA – EALD: TEACHER Resource</w:t>
      </w:r>
    </w:p>
    <w:p w:rsidR="00050F55" w:rsidRPr="00DA4655" w:rsidRDefault="00050F55" w:rsidP="00050F55">
      <w:pPr>
        <w:spacing w:before="120" w:after="120" w:line="240" w:lineRule="auto"/>
      </w:pPr>
      <w:r w:rsidRPr="00DA4655">
        <w:t xml:space="preserve">The </w:t>
      </w:r>
      <w:r w:rsidRPr="00DA4655">
        <w:rPr>
          <w:i/>
        </w:rPr>
        <w:t>Shape of the Australian Curriculum (December 2010)</w:t>
      </w:r>
      <w:r w:rsidRPr="00DA4655">
        <w:t xml:space="preserve"> describes ACARA’s commitment to supporting equity of access to the Australian Curriculum for all learners. As part of this commitment, ACARA has developed the </w:t>
      </w:r>
      <w:r w:rsidRPr="00DA4655">
        <w:rPr>
          <w:i/>
        </w:rPr>
        <w:t>English as an Additional Language or Dialect: Teacher Resource</w:t>
      </w:r>
      <w:r w:rsidRPr="00DA4655">
        <w:t xml:space="preserve"> to support teachers as they develop teaching and learning programs in the Australian Curriculum: Foundation to Year 10 with students for whom English is an addi</w:t>
      </w:r>
      <w:r>
        <w:t>tional language or dialect (EAL</w:t>
      </w:r>
      <w:r w:rsidRPr="00DA4655">
        <w:t xml:space="preserve">D). The resource has been developed to: </w:t>
      </w:r>
    </w:p>
    <w:p w:rsidR="00050F55" w:rsidRPr="00DA4655" w:rsidRDefault="00050F55" w:rsidP="00050F55">
      <w:pPr>
        <w:numPr>
          <w:ilvl w:val="0"/>
          <w:numId w:val="21"/>
        </w:numPr>
        <w:spacing w:before="120" w:after="120" w:line="240" w:lineRule="auto"/>
      </w:pPr>
      <w:r w:rsidRPr="00DA4655">
        <w:t>assist classroom teach</w:t>
      </w:r>
      <w:r>
        <w:t>ers to identify where their EAL</w:t>
      </w:r>
      <w:r w:rsidRPr="00DA4655">
        <w:t xml:space="preserve">D students are broadly positioned on a progression of English language learning </w:t>
      </w:r>
    </w:p>
    <w:p w:rsidR="00050F55" w:rsidRPr="00DA4655" w:rsidRDefault="00050F55" w:rsidP="00050F55">
      <w:pPr>
        <w:numPr>
          <w:ilvl w:val="0"/>
          <w:numId w:val="21"/>
        </w:numPr>
        <w:spacing w:before="120" w:after="120" w:line="240" w:lineRule="auto"/>
      </w:pPr>
      <w:r w:rsidRPr="00DA4655">
        <w:t>advise teachers about a</w:t>
      </w:r>
      <w:r>
        <w:t>reas of the curriculum that EAL</w:t>
      </w:r>
      <w:r w:rsidRPr="00DA4655">
        <w:t xml:space="preserve">D students may find challenging and why </w:t>
      </w:r>
    </w:p>
    <w:p w:rsidR="00050F55" w:rsidRPr="00DA4655" w:rsidRDefault="00050F55" w:rsidP="00050F55">
      <w:pPr>
        <w:numPr>
          <w:ilvl w:val="0"/>
          <w:numId w:val="21"/>
        </w:numPr>
        <w:spacing w:before="120" w:after="120" w:line="240" w:lineRule="auto"/>
      </w:pPr>
      <w:r w:rsidRPr="00DA4655">
        <w:t xml:space="preserve">help teachers understand students’ cultural and linguistic diversity, and the ways this understanding can be used in the classroom </w:t>
      </w:r>
    </w:p>
    <w:p w:rsidR="00050F55" w:rsidRPr="00DA4655" w:rsidRDefault="00050F55" w:rsidP="00050F55">
      <w:pPr>
        <w:numPr>
          <w:ilvl w:val="0"/>
          <w:numId w:val="21"/>
        </w:numPr>
        <w:spacing w:before="120" w:after="120" w:line="240" w:lineRule="auto"/>
      </w:pPr>
      <w:r w:rsidRPr="00DA4655">
        <w:t>provide examples of teachi</w:t>
      </w:r>
      <w:r>
        <w:t>ng strategies supportive of EAL</w:t>
      </w:r>
      <w:r w:rsidRPr="00DA4655">
        <w:t>D students</w:t>
      </w:r>
    </w:p>
    <w:p w:rsidR="00050F55" w:rsidRDefault="00050F55" w:rsidP="00050F55">
      <w:pPr>
        <w:numPr>
          <w:ilvl w:val="0"/>
          <w:numId w:val="21"/>
        </w:numPr>
        <w:spacing w:before="120" w:after="120" w:line="240" w:lineRule="auto"/>
      </w:pPr>
      <w:proofErr w:type="gramStart"/>
      <w:r w:rsidRPr="00DA4655">
        <w:t>direct</w:t>
      </w:r>
      <w:proofErr w:type="gramEnd"/>
      <w:r w:rsidRPr="00DA4655">
        <w:t xml:space="preserve"> teachers to additional relevant and </w:t>
      </w:r>
      <w:r>
        <w:t>useful support for teaching EAL</w:t>
      </w:r>
      <w:r w:rsidRPr="00DA4655">
        <w:t xml:space="preserve">D students. </w:t>
      </w:r>
      <w:r>
        <w:br/>
      </w:r>
    </w:p>
    <w:p w:rsidR="00050F55" w:rsidRPr="00DA4655" w:rsidRDefault="00050F55" w:rsidP="00050F55">
      <w:pPr>
        <w:spacing w:before="120" w:after="120" w:line="240" w:lineRule="auto"/>
      </w:pPr>
      <w:r w:rsidRPr="00DA4655">
        <w:t xml:space="preserve">The resource comprises: </w:t>
      </w:r>
    </w:p>
    <w:p w:rsidR="00050F55" w:rsidRPr="00DA4655" w:rsidRDefault="00050F55" w:rsidP="00050F55">
      <w:pPr>
        <w:numPr>
          <w:ilvl w:val="0"/>
          <w:numId w:val="22"/>
        </w:numPr>
        <w:spacing w:before="120" w:after="120" w:line="240" w:lineRule="auto"/>
      </w:pPr>
      <w:r w:rsidRPr="00DA4655">
        <w:t xml:space="preserve">an overview of the characteristics of </w:t>
      </w:r>
      <w:r>
        <w:t>students learning EAL</w:t>
      </w:r>
      <w:r w:rsidRPr="00DA4655">
        <w:t xml:space="preserve">D and their particular needs  </w:t>
      </w:r>
    </w:p>
    <w:p w:rsidR="00050F55" w:rsidRPr="00DA4655" w:rsidRDefault="00050F55" w:rsidP="00050F55">
      <w:pPr>
        <w:numPr>
          <w:ilvl w:val="0"/>
          <w:numId w:val="22"/>
        </w:numPr>
        <w:spacing w:before="120" w:after="120" w:line="240" w:lineRule="auto"/>
      </w:pPr>
      <w:r>
        <w:t>an EAL</w:t>
      </w:r>
      <w:r w:rsidRPr="00DA4655">
        <w:t>D lear</w:t>
      </w:r>
      <w:r>
        <w:t>ning progression typical of EAL</w:t>
      </w:r>
      <w:r w:rsidRPr="00DA4655">
        <w:t>D students that will help teachers to identify the Eng</w:t>
      </w:r>
      <w:r>
        <w:t>lish language levels of the EAL</w:t>
      </w:r>
      <w:r w:rsidRPr="00DA4655">
        <w:t xml:space="preserve">D students in their classrooms and to address their specific learning requirements </w:t>
      </w:r>
    </w:p>
    <w:p w:rsidR="00050F55" w:rsidRPr="005A5C9A" w:rsidRDefault="00050F55" w:rsidP="00050F55">
      <w:pPr>
        <w:numPr>
          <w:ilvl w:val="0"/>
          <w:numId w:val="22"/>
        </w:numPr>
        <w:spacing w:before="120" w:after="120" w:line="240" w:lineRule="auto"/>
        <w:rPr>
          <w:bCs/>
          <w:smallCaps/>
        </w:rPr>
        <w:sectPr w:rsidR="00050F55" w:rsidRPr="005A5C9A" w:rsidSect="00B36F5E">
          <w:pgSz w:w="11906" w:h="16838" w:code="9"/>
          <w:pgMar w:top="1559" w:right="992" w:bottom="907" w:left="1134" w:header="170" w:footer="0" w:gutter="0"/>
          <w:cols w:space="708"/>
          <w:docGrid w:linePitch="360"/>
        </w:sectPr>
      </w:pPr>
      <w:proofErr w:type="gramStart"/>
      <w:r w:rsidRPr="00DA4655">
        <w:t>advice</w:t>
      </w:r>
      <w:proofErr w:type="gramEnd"/>
      <w:r w:rsidRPr="00DA4655">
        <w:t xml:space="preserve"> for teachers regarding linguistic and cultural considerations and teaching strategies</w:t>
      </w:r>
      <w:r w:rsidR="00F53002">
        <w:t>.</w:t>
      </w:r>
    </w:p>
    <w:p w:rsidR="0030553F" w:rsidRDefault="00D4677C" w:rsidP="00C13B7C">
      <w:pPr>
        <w:pStyle w:val="Heading2"/>
      </w:pPr>
      <w:bookmarkStart w:id="117" w:name="_Toc322083130"/>
      <w:r w:rsidRPr="00B90BC2">
        <w:t xml:space="preserve">Appendix </w:t>
      </w:r>
      <w:r w:rsidR="00050F55">
        <w:t>4</w:t>
      </w:r>
      <w:r w:rsidRPr="00B90BC2">
        <w:tab/>
        <w:t>Stakeholder Forum</w:t>
      </w:r>
      <w:bookmarkEnd w:id="117"/>
      <w:r w:rsidRPr="00B90BC2">
        <w:t xml:space="preserve"> </w:t>
      </w:r>
    </w:p>
    <w:p w:rsidR="0030553F" w:rsidRDefault="0030553F" w:rsidP="0030553F">
      <w:pPr>
        <w:spacing w:before="120" w:after="120"/>
        <w:jc w:val="center"/>
        <w:rPr>
          <w:b/>
          <w:sz w:val="24"/>
          <w:szCs w:val="24"/>
        </w:rPr>
      </w:pPr>
    </w:p>
    <w:p w:rsidR="0030553F" w:rsidRPr="0030553F" w:rsidRDefault="0030553F" w:rsidP="0030553F">
      <w:pPr>
        <w:spacing w:before="120" w:after="120"/>
        <w:rPr>
          <w:sz w:val="24"/>
          <w:szCs w:val="24"/>
        </w:rPr>
      </w:pPr>
      <w:r w:rsidRPr="0030553F">
        <w:rPr>
          <w:sz w:val="24"/>
          <w:szCs w:val="24"/>
        </w:rPr>
        <w:t xml:space="preserve">Appendix </w:t>
      </w:r>
      <w:r w:rsidR="00050F55">
        <w:rPr>
          <w:sz w:val="24"/>
          <w:szCs w:val="24"/>
        </w:rPr>
        <w:t>4</w:t>
      </w:r>
      <w:r w:rsidRPr="0030553F">
        <w:rPr>
          <w:sz w:val="24"/>
          <w:szCs w:val="24"/>
        </w:rPr>
        <w:t>.1 - Stakeholder Forum Participants</w:t>
      </w:r>
    </w:p>
    <w:p w:rsidR="0030553F" w:rsidRPr="0030553F" w:rsidRDefault="0030553F" w:rsidP="0030553F">
      <w:pPr>
        <w:spacing w:before="120" w:after="120"/>
        <w:jc w:val="both"/>
        <w:rPr>
          <w:sz w:val="24"/>
          <w:szCs w:val="24"/>
        </w:rPr>
      </w:pPr>
      <w:r w:rsidRPr="0030553F">
        <w:rPr>
          <w:sz w:val="24"/>
          <w:szCs w:val="24"/>
        </w:rPr>
        <w:t xml:space="preserve">Appendix </w:t>
      </w:r>
      <w:r w:rsidR="00050F55">
        <w:rPr>
          <w:sz w:val="24"/>
          <w:szCs w:val="24"/>
        </w:rPr>
        <w:t>4</w:t>
      </w:r>
      <w:r w:rsidRPr="0030553F">
        <w:rPr>
          <w:sz w:val="24"/>
          <w:szCs w:val="24"/>
        </w:rPr>
        <w:t>.2 - Stakeholder Forum Background Paper</w:t>
      </w:r>
    </w:p>
    <w:p w:rsidR="0030553F" w:rsidRDefault="0030553F" w:rsidP="0030553F">
      <w:pPr>
        <w:spacing w:before="120" w:after="120"/>
        <w:rPr>
          <w:sz w:val="24"/>
          <w:szCs w:val="24"/>
        </w:rPr>
      </w:pPr>
      <w:r w:rsidRPr="0030553F">
        <w:rPr>
          <w:sz w:val="24"/>
          <w:szCs w:val="24"/>
        </w:rPr>
        <w:t xml:space="preserve">Appendix </w:t>
      </w:r>
      <w:r w:rsidR="00050F55">
        <w:rPr>
          <w:sz w:val="24"/>
          <w:szCs w:val="24"/>
        </w:rPr>
        <w:t>4</w:t>
      </w:r>
      <w:r w:rsidRPr="0030553F">
        <w:rPr>
          <w:sz w:val="24"/>
          <w:szCs w:val="24"/>
        </w:rPr>
        <w:t xml:space="preserve">.3 - Stakeholder Forum Overview and </w:t>
      </w:r>
      <w:r>
        <w:rPr>
          <w:sz w:val="24"/>
          <w:szCs w:val="24"/>
        </w:rPr>
        <w:t>P</w:t>
      </w:r>
      <w:r w:rsidRPr="0030553F">
        <w:rPr>
          <w:sz w:val="24"/>
          <w:szCs w:val="24"/>
        </w:rPr>
        <w:t>rocess</w:t>
      </w:r>
    </w:p>
    <w:p w:rsidR="00907FFE" w:rsidRPr="005E0AD0" w:rsidRDefault="0030553F" w:rsidP="005E0AD0">
      <w:pPr>
        <w:spacing w:before="120" w:after="120"/>
        <w:jc w:val="center"/>
        <w:rPr>
          <w:rStyle w:val="Heading2Char"/>
        </w:rPr>
      </w:pPr>
      <w:r>
        <w:rPr>
          <w:sz w:val="24"/>
          <w:szCs w:val="24"/>
        </w:rPr>
        <w:t xml:space="preserve">Appendix </w:t>
      </w:r>
      <w:r w:rsidR="00050F55">
        <w:rPr>
          <w:sz w:val="24"/>
          <w:szCs w:val="24"/>
        </w:rPr>
        <w:t>4</w:t>
      </w:r>
      <w:r>
        <w:rPr>
          <w:sz w:val="24"/>
          <w:szCs w:val="24"/>
        </w:rPr>
        <w:t xml:space="preserve">.4 </w:t>
      </w:r>
      <w:r w:rsidR="001478A4">
        <w:rPr>
          <w:sz w:val="24"/>
          <w:szCs w:val="24"/>
        </w:rPr>
        <w:t xml:space="preserve">- </w:t>
      </w:r>
      <w:r>
        <w:rPr>
          <w:sz w:val="24"/>
          <w:szCs w:val="24"/>
        </w:rPr>
        <w:t>Summary of Stakeholder Feedback</w:t>
      </w:r>
      <w:r w:rsidR="00D4677C" w:rsidRPr="00B90BC2">
        <w:rPr>
          <w:b/>
          <w:sz w:val="24"/>
          <w:szCs w:val="24"/>
        </w:rPr>
        <w:br w:type="page"/>
      </w:r>
      <w:bookmarkStart w:id="118" w:name="_Toc322083131"/>
      <w:r w:rsidRPr="005E0AD0">
        <w:rPr>
          <w:rStyle w:val="Heading2Char"/>
        </w:rPr>
        <w:t xml:space="preserve">Appendix </w:t>
      </w:r>
      <w:r w:rsidR="00050F55" w:rsidRPr="005E0AD0">
        <w:rPr>
          <w:rStyle w:val="Heading2Char"/>
        </w:rPr>
        <w:t>4</w:t>
      </w:r>
      <w:r w:rsidR="00FA1949" w:rsidRPr="005E0AD0">
        <w:rPr>
          <w:rStyle w:val="Heading2Char"/>
        </w:rPr>
        <w:t xml:space="preserve">.1 </w:t>
      </w:r>
      <w:r w:rsidR="006F711E" w:rsidRPr="005E0AD0">
        <w:rPr>
          <w:rStyle w:val="Heading2Char"/>
        </w:rPr>
        <w:tab/>
      </w:r>
      <w:r w:rsidR="00907FFE" w:rsidRPr="005E0AD0">
        <w:rPr>
          <w:rStyle w:val="Heading2Char"/>
        </w:rPr>
        <w:t xml:space="preserve">Stakeholder </w:t>
      </w:r>
      <w:r w:rsidR="008549C2" w:rsidRPr="005E0AD0">
        <w:rPr>
          <w:rStyle w:val="Heading2Char"/>
        </w:rPr>
        <w:t>Forum</w:t>
      </w:r>
      <w:r w:rsidR="00907FFE" w:rsidRPr="005E0AD0">
        <w:rPr>
          <w:rStyle w:val="Heading2Char"/>
        </w:rPr>
        <w:t xml:space="preserve"> Participants</w:t>
      </w:r>
      <w:bookmarkEnd w:id="116"/>
      <w:bookmarkEnd w:id="118"/>
    </w:p>
    <w:tbl>
      <w:tblPr>
        <w:tblW w:w="2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953"/>
        <w:gridCol w:w="3683"/>
      </w:tblGrid>
      <w:tr w:rsidR="00E03616" w:rsidRPr="00DA4655" w:rsidTr="0062570A">
        <w:trPr>
          <w:trHeight w:hRule="exact" w:val="573"/>
        </w:trPr>
        <w:tc>
          <w:tcPr>
            <w:tcW w:w="5000" w:type="pct"/>
            <w:gridSpan w:val="2"/>
            <w:shd w:val="clear" w:color="auto" w:fill="D9D9D9"/>
            <w:vAlign w:val="center"/>
          </w:tcPr>
          <w:p w:rsidR="00E03616" w:rsidRPr="00DA4655" w:rsidRDefault="00E03616" w:rsidP="00504B61">
            <w:pPr>
              <w:spacing w:before="120" w:after="120"/>
              <w:rPr>
                <w:b/>
                <w:sz w:val="20"/>
              </w:rPr>
            </w:pPr>
            <w:r w:rsidRPr="00DA4655">
              <w:rPr>
                <w:b/>
                <w:sz w:val="20"/>
              </w:rPr>
              <w:t>Community Representatives</w:t>
            </w:r>
          </w:p>
        </w:tc>
      </w:tr>
      <w:tr w:rsidR="00E03616" w:rsidRPr="00DA4655" w:rsidTr="00233EEB">
        <w:trPr>
          <w:trHeight w:val="263"/>
        </w:trPr>
        <w:tc>
          <w:tcPr>
            <w:tcW w:w="1733" w:type="pct"/>
            <w:shd w:val="clear" w:color="auto" w:fill="FFFFFF"/>
            <w:vAlign w:val="center"/>
          </w:tcPr>
          <w:p w:rsidR="00E03616" w:rsidRPr="00DA4655" w:rsidRDefault="00E03616" w:rsidP="00504B61">
            <w:pPr>
              <w:spacing w:before="120" w:after="120"/>
              <w:rPr>
                <w:sz w:val="20"/>
              </w:rPr>
            </w:pPr>
            <w:r w:rsidRPr="00DA4655">
              <w:rPr>
                <w:sz w:val="20"/>
              </w:rPr>
              <w:t>Eileen  Willingham</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Canberra Refugee Support</w:t>
            </w:r>
          </w:p>
        </w:tc>
      </w:tr>
      <w:tr w:rsidR="00E03616" w:rsidRPr="00DA4655" w:rsidTr="00233EEB">
        <w:tc>
          <w:tcPr>
            <w:tcW w:w="1733" w:type="pct"/>
            <w:shd w:val="clear" w:color="auto" w:fill="FFFFFF"/>
            <w:vAlign w:val="center"/>
          </w:tcPr>
          <w:p w:rsidR="00E03616" w:rsidRPr="00DA4655" w:rsidRDefault="00E03616" w:rsidP="00504B61">
            <w:pPr>
              <w:spacing w:before="120" w:after="120"/>
              <w:rPr>
                <w:sz w:val="20"/>
              </w:rPr>
            </w:pPr>
            <w:proofErr w:type="spellStart"/>
            <w:r w:rsidRPr="00DA4655">
              <w:rPr>
                <w:sz w:val="20"/>
              </w:rPr>
              <w:t>Viv</w:t>
            </w:r>
            <w:proofErr w:type="spellEnd"/>
            <w:r w:rsidRPr="00DA4655">
              <w:rPr>
                <w:sz w:val="20"/>
              </w:rPr>
              <w:t xml:space="preserve"> Pearce</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P&amp;C Council</w:t>
            </w:r>
          </w:p>
        </w:tc>
      </w:tr>
      <w:tr w:rsidR="00E03616" w:rsidRPr="00DA4655" w:rsidTr="00233EEB">
        <w:trPr>
          <w:trHeight w:val="20"/>
        </w:trPr>
        <w:tc>
          <w:tcPr>
            <w:tcW w:w="1733" w:type="pct"/>
            <w:shd w:val="clear" w:color="auto" w:fill="FFFFFF"/>
            <w:vAlign w:val="center"/>
          </w:tcPr>
          <w:p w:rsidR="00E03616" w:rsidRPr="00DA4655" w:rsidRDefault="00E03616" w:rsidP="00504B61">
            <w:pPr>
              <w:spacing w:before="120" w:after="120"/>
              <w:rPr>
                <w:sz w:val="20"/>
              </w:rPr>
            </w:pPr>
            <w:r w:rsidRPr="00DA4655">
              <w:rPr>
                <w:sz w:val="20"/>
              </w:rPr>
              <w:t xml:space="preserve">Deborah Nelson </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Companion House</w:t>
            </w:r>
          </w:p>
        </w:tc>
      </w:tr>
      <w:tr w:rsidR="00E03616" w:rsidRPr="00DA4655" w:rsidTr="00233EEB">
        <w:trPr>
          <w:trHeight w:val="20"/>
        </w:trPr>
        <w:tc>
          <w:tcPr>
            <w:tcW w:w="1733" w:type="pct"/>
            <w:shd w:val="clear" w:color="auto" w:fill="FFFFFF"/>
            <w:vAlign w:val="center"/>
          </w:tcPr>
          <w:p w:rsidR="00E03616" w:rsidRPr="00DA4655" w:rsidRDefault="00E03616" w:rsidP="00504B61">
            <w:pPr>
              <w:spacing w:before="120" w:after="120"/>
              <w:rPr>
                <w:sz w:val="20"/>
              </w:rPr>
            </w:pPr>
            <w:r w:rsidRPr="00DA4655">
              <w:rPr>
                <w:sz w:val="20"/>
              </w:rPr>
              <w:t>Mandy Scott</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Canberra Multicultural Community Forum</w:t>
            </w:r>
          </w:p>
        </w:tc>
      </w:tr>
      <w:tr w:rsidR="00E03616" w:rsidRPr="00DA4655" w:rsidTr="00233EEB">
        <w:trPr>
          <w:trHeight w:val="20"/>
        </w:trPr>
        <w:tc>
          <w:tcPr>
            <w:tcW w:w="1733" w:type="pct"/>
            <w:shd w:val="clear" w:color="auto" w:fill="FFFFFF"/>
            <w:vAlign w:val="center"/>
          </w:tcPr>
          <w:p w:rsidR="00E03616" w:rsidRPr="00DA4655" w:rsidRDefault="00E03616" w:rsidP="00504B61">
            <w:pPr>
              <w:spacing w:before="120" w:after="120"/>
              <w:rPr>
                <w:sz w:val="20"/>
              </w:rPr>
            </w:pPr>
            <w:r w:rsidRPr="00DA4655">
              <w:rPr>
                <w:sz w:val="20"/>
              </w:rPr>
              <w:t>Sam Wong</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Canberra Multicultural Community Forum</w:t>
            </w:r>
          </w:p>
        </w:tc>
      </w:tr>
      <w:tr w:rsidR="00E03616" w:rsidRPr="00DA4655" w:rsidTr="00233EEB">
        <w:trPr>
          <w:trHeight w:val="238"/>
        </w:trPr>
        <w:tc>
          <w:tcPr>
            <w:tcW w:w="1733" w:type="pct"/>
            <w:shd w:val="clear" w:color="auto" w:fill="FFFFFF"/>
            <w:vAlign w:val="center"/>
          </w:tcPr>
          <w:p w:rsidR="00E03616" w:rsidRPr="00DA4655" w:rsidRDefault="00E03616" w:rsidP="00504B61">
            <w:pPr>
              <w:spacing w:before="120" w:after="120"/>
              <w:rPr>
                <w:sz w:val="20"/>
              </w:rPr>
            </w:pPr>
            <w:r w:rsidRPr="00DA4655">
              <w:rPr>
                <w:sz w:val="20"/>
              </w:rPr>
              <w:t>Steve Do</w:t>
            </w:r>
            <w:r w:rsidR="003D66D8" w:rsidRPr="00DA4655">
              <w:rPr>
                <w:sz w:val="20"/>
              </w:rPr>
              <w:t>s</w:t>
            </w:r>
            <w:r w:rsidRPr="00DA4655">
              <w:rPr>
                <w:sz w:val="20"/>
              </w:rPr>
              <w:t>zpot</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MLA</w:t>
            </w:r>
          </w:p>
        </w:tc>
      </w:tr>
      <w:tr w:rsidR="00B17CB5" w:rsidRPr="00DA4655" w:rsidTr="00233EEB">
        <w:trPr>
          <w:trHeight w:val="20"/>
        </w:trPr>
        <w:tc>
          <w:tcPr>
            <w:tcW w:w="5000" w:type="pct"/>
            <w:gridSpan w:val="2"/>
            <w:shd w:val="clear" w:color="auto" w:fill="D9D9D9"/>
            <w:vAlign w:val="center"/>
          </w:tcPr>
          <w:p w:rsidR="00B17CB5" w:rsidRPr="00DA4655" w:rsidRDefault="00B17CB5" w:rsidP="00504B61">
            <w:pPr>
              <w:spacing w:before="120" w:after="120"/>
              <w:rPr>
                <w:sz w:val="20"/>
              </w:rPr>
            </w:pPr>
            <w:r w:rsidRPr="00DA4655">
              <w:rPr>
                <w:b/>
                <w:sz w:val="20"/>
              </w:rPr>
              <w:t>Principals</w:t>
            </w:r>
            <w:r w:rsidR="00E42976" w:rsidRPr="00DA4655">
              <w:rPr>
                <w:b/>
                <w:sz w:val="20"/>
              </w:rPr>
              <w:t xml:space="preserve">/Deputy Principals </w:t>
            </w:r>
          </w:p>
        </w:tc>
      </w:tr>
      <w:tr w:rsidR="00E03616" w:rsidRPr="00DA4655" w:rsidTr="00233EEB">
        <w:trPr>
          <w:trHeight w:val="20"/>
        </w:trPr>
        <w:tc>
          <w:tcPr>
            <w:tcW w:w="1733" w:type="pct"/>
            <w:shd w:val="clear" w:color="auto" w:fill="FFFFFF"/>
            <w:vAlign w:val="center"/>
          </w:tcPr>
          <w:p w:rsidR="00E03616" w:rsidRPr="00DA4655" w:rsidRDefault="00E03616" w:rsidP="00504B61">
            <w:pPr>
              <w:spacing w:before="120" w:after="120"/>
              <w:rPr>
                <w:sz w:val="20"/>
              </w:rPr>
            </w:pPr>
            <w:r w:rsidRPr="00DA4655">
              <w:rPr>
                <w:sz w:val="20"/>
              </w:rPr>
              <w:t xml:space="preserve">Lindy </w:t>
            </w:r>
            <w:proofErr w:type="spellStart"/>
            <w:r w:rsidRPr="00DA4655">
              <w:rPr>
                <w:sz w:val="20"/>
              </w:rPr>
              <w:t>Beeley</w:t>
            </w:r>
            <w:proofErr w:type="spellEnd"/>
          </w:p>
        </w:tc>
        <w:tc>
          <w:tcPr>
            <w:tcW w:w="3267" w:type="pct"/>
            <w:shd w:val="clear" w:color="auto" w:fill="FFFFFF"/>
            <w:vAlign w:val="center"/>
          </w:tcPr>
          <w:p w:rsidR="00E03616" w:rsidRPr="00DA4655" w:rsidRDefault="00E03616" w:rsidP="00504B61">
            <w:pPr>
              <w:spacing w:before="120" w:after="120"/>
              <w:rPr>
                <w:sz w:val="20"/>
              </w:rPr>
            </w:pPr>
            <w:r w:rsidRPr="00DA4655">
              <w:rPr>
                <w:sz w:val="20"/>
              </w:rPr>
              <w:t>Majura PS / ACTPA Co-President</w:t>
            </w:r>
          </w:p>
        </w:tc>
      </w:tr>
      <w:tr w:rsidR="00E03616" w:rsidRPr="00DA4655" w:rsidTr="00233EEB">
        <w:trPr>
          <w:trHeight w:val="20"/>
        </w:trPr>
        <w:tc>
          <w:tcPr>
            <w:tcW w:w="1733" w:type="pct"/>
            <w:shd w:val="clear" w:color="auto" w:fill="FFFFFF"/>
            <w:vAlign w:val="center"/>
          </w:tcPr>
          <w:p w:rsidR="00E03616" w:rsidRPr="00DA4655" w:rsidRDefault="00E03616" w:rsidP="00504B61">
            <w:pPr>
              <w:spacing w:before="120" w:after="120"/>
              <w:rPr>
                <w:sz w:val="20"/>
              </w:rPr>
            </w:pPr>
            <w:r w:rsidRPr="00DA4655">
              <w:rPr>
                <w:sz w:val="20"/>
              </w:rPr>
              <w:t>Robyn McLean</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Narrabundah ECS</w:t>
            </w:r>
          </w:p>
        </w:tc>
      </w:tr>
      <w:tr w:rsidR="00E03616" w:rsidRPr="00DA4655" w:rsidTr="00233EEB">
        <w:trPr>
          <w:trHeight w:val="20"/>
        </w:trPr>
        <w:tc>
          <w:tcPr>
            <w:tcW w:w="1733" w:type="pct"/>
            <w:shd w:val="clear" w:color="auto" w:fill="FFFFFF"/>
            <w:vAlign w:val="center"/>
          </w:tcPr>
          <w:p w:rsidR="00E03616" w:rsidRPr="00DA4655" w:rsidRDefault="00E03616" w:rsidP="00504B61">
            <w:pPr>
              <w:spacing w:before="120" w:after="120"/>
              <w:rPr>
                <w:sz w:val="20"/>
              </w:rPr>
            </w:pPr>
            <w:r w:rsidRPr="00DA4655">
              <w:rPr>
                <w:sz w:val="20"/>
              </w:rPr>
              <w:t xml:space="preserve">George </w:t>
            </w:r>
            <w:proofErr w:type="spellStart"/>
            <w:r w:rsidRPr="00DA4655">
              <w:rPr>
                <w:sz w:val="20"/>
              </w:rPr>
              <w:t>Palavestra</w:t>
            </w:r>
            <w:proofErr w:type="spellEnd"/>
          </w:p>
        </w:tc>
        <w:tc>
          <w:tcPr>
            <w:tcW w:w="3267" w:type="pct"/>
            <w:shd w:val="clear" w:color="auto" w:fill="FFFFFF"/>
            <w:vAlign w:val="center"/>
          </w:tcPr>
          <w:p w:rsidR="00E03616" w:rsidRPr="00DA4655" w:rsidRDefault="00E03616" w:rsidP="00504B61">
            <w:pPr>
              <w:spacing w:before="120" w:after="120"/>
              <w:rPr>
                <w:sz w:val="20"/>
              </w:rPr>
            </w:pPr>
            <w:r w:rsidRPr="00DA4655">
              <w:rPr>
                <w:sz w:val="20"/>
              </w:rPr>
              <w:t>Melrose HS</w:t>
            </w:r>
          </w:p>
        </w:tc>
      </w:tr>
      <w:tr w:rsidR="00E03616" w:rsidRPr="00DA4655" w:rsidTr="00233EEB">
        <w:trPr>
          <w:trHeight w:val="20"/>
        </w:trPr>
        <w:tc>
          <w:tcPr>
            <w:tcW w:w="1733" w:type="pct"/>
            <w:shd w:val="clear" w:color="auto" w:fill="FFFFFF"/>
            <w:vAlign w:val="center"/>
          </w:tcPr>
          <w:p w:rsidR="00E03616" w:rsidRPr="00DA4655" w:rsidRDefault="00E03616" w:rsidP="00504B61">
            <w:pPr>
              <w:spacing w:before="120" w:after="120"/>
              <w:rPr>
                <w:sz w:val="20"/>
              </w:rPr>
            </w:pPr>
            <w:r w:rsidRPr="00DA4655">
              <w:rPr>
                <w:sz w:val="20"/>
              </w:rPr>
              <w:t>Julie Cooper</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Amaroo School</w:t>
            </w:r>
          </w:p>
        </w:tc>
      </w:tr>
      <w:tr w:rsidR="00E03616" w:rsidRPr="00DA4655" w:rsidTr="00233EEB">
        <w:trPr>
          <w:trHeight w:val="20"/>
        </w:trPr>
        <w:tc>
          <w:tcPr>
            <w:tcW w:w="1733" w:type="pct"/>
            <w:shd w:val="clear" w:color="auto" w:fill="FFFFFF"/>
            <w:vAlign w:val="center"/>
          </w:tcPr>
          <w:p w:rsidR="00E03616" w:rsidRPr="00DA4655" w:rsidRDefault="00E03616" w:rsidP="00504B61">
            <w:pPr>
              <w:spacing w:before="120" w:after="120"/>
              <w:rPr>
                <w:sz w:val="20"/>
              </w:rPr>
            </w:pPr>
            <w:r w:rsidRPr="00DA4655">
              <w:rPr>
                <w:sz w:val="20"/>
              </w:rPr>
              <w:t>Michael Kindler</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Stromlo HS</w:t>
            </w:r>
          </w:p>
        </w:tc>
      </w:tr>
      <w:tr w:rsidR="00E03616" w:rsidRPr="00DA4655" w:rsidTr="00233EEB">
        <w:trPr>
          <w:trHeight w:val="20"/>
        </w:trPr>
        <w:tc>
          <w:tcPr>
            <w:tcW w:w="1733" w:type="pct"/>
            <w:shd w:val="clear" w:color="auto" w:fill="FFFFFF"/>
            <w:vAlign w:val="center"/>
          </w:tcPr>
          <w:p w:rsidR="00E03616" w:rsidRPr="00DA4655" w:rsidRDefault="00E03616" w:rsidP="00504B61">
            <w:pPr>
              <w:spacing w:before="120" w:after="120"/>
              <w:rPr>
                <w:sz w:val="20"/>
              </w:rPr>
            </w:pPr>
            <w:r w:rsidRPr="00DA4655">
              <w:rPr>
                <w:sz w:val="20"/>
              </w:rPr>
              <w:t>Richard Powell</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Amaroo School</w:t>
            </w:r>
          </w:p>
        </w:tc>
      </w:tr>
      <w:tr w:rsidR="00E03616" w:rsidRPr="00DA4655" w:rsidTr="00233EEB">
        <w:tc>
          <w:tcPr>
            <w:tcW w:w="1733" w:type="pct"/>
            <w:shd w:val="clear" w:color="auto" w:fill="FFFFFF"/>
            <w:vAlign w:val="center"/>
          </w:tcPr>
          <w:p w:rsidR="00E03616" w:rsidRPr="00DA4655" w:rsidRDefault="00E03616" w:rsidP="00504B61">
            <w:pPr>
              <w:spacing w:before="120" w:after="120"/>
              <w:rPr>
                <w:sz w:val="20"/>
              </w:rPr>
            </w:pPr>
            <w:r w:rsidRPr="00DA4655">
              <w:rPr>
                <w:sz w:val="20"/>
              </w:rPr>
              <w:t>Murray Bruce</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Gordon PS</w:t>
            </w:r>
          </w:p>
        </w:tc>
      </w:tr>
      <w:tr w:rsidR="00E03616" w:rsidRPr="00DA4655" w:rsidTr="00233EEB">
        <w:trPr>
          <w:trHeight w:val="20"/>
        </w:trPr>
        <w:tc>
          <w:tcPr>
            <w:tcW w:w="1733" w:type="pct"/>
            <w:shd w:val="clear" w:color="auto" w:fill="FFFFFF"/>
            <w:vAlign w:val="center"/>
          </w:tcPr>
          <w:p w:rsidR="00E03616" w:rsidRPr="00DA4655" w:rsidRDefault="00E03616" w:rsidP="00504B61">
            <w:pPr>
              <w:spacing w:before="120" w:after="120"/>
              <w:rPr>
                <w:sz w:val="20"/>
              </w:rPr>
            </w:pPr>
            <w:r w:rsidRPr="00DA4655">
              <w:rPr>
                <w:sz w:val="20"/>
              </w:rPr>
              <w:t>Pam Rosser</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Namadgi School</w:t>
            </w:r>
          </w:p>
        </w:tc>
      </w:tr>
      <w:tr w:rsidR="00E03616" w:rsidRPr="00DA4655" w:rsidTr="00233EEB">
        <w:trPr>
          <w:trHeight w:val="20"/>
        </w:trPr>
        <w:tc>
          <w:tcPr>
            <w:tcW w:w="1733" w:type="pct"/>
            <w:shd w:val="clear" w:color="auto" w:fill="FFFFFF"/>
            <w:vAlign w:val="center"/>
          </w:tcPr>
          <w:p w:rsidR="00E03616" w:rsidRPr="00DA4655" w:rsidRDefault="00E03616" w:rsidP="00504B61">
            <w:pPr>
              <w:spacing w:before="120" w:after="120"/>
              <w:rPr>
                <w:sz w:val="20"/>
              </w:rPr>
            </w:pPr>
            <w:r w:rsidRPr="00DA4655">
              <w:rPr>
                <w:sz w:val="20"/>
              </w:rPr>
              <w:t>Fran Dawning</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Lyneham PS</w:t>
            </w:r>
          </w:p>
        </w:tc>
      </w:tr>
      <w:tr w:rsidR="00E03616" w:rsidRPr="00DA4655" w:rsidTr="00233EEB">
        <w:trPr>
          <w:trHeight w:val="20"/>
        </w:trPr>
        <w:tc>
          <w:tcPr>
            <w:tcW w:w="5000" w:type="pct"/>
            <w:gridSpan w:val="2"/>
            <w:shd w:val="clear" w:color="auto" w:fill="D9D9D9"/>
            <w:vAlign w:val="center"/>
          </w:tcPr>
          <w:p w:rsidR="00E03616" w:rsidRPr="00DA4655" w:rsidRDefault="00E03616" w:rsidP="00504B61">
            <w:pPr>
              <w:spacing w:before="120" w:after="120"/>
              <w:rPr>
                <w:sz w:val="20"/>
              </w:rPr>
            </w:pPr>
            <w:r w:rsidRPr="00DA4655">
              <w:rPr>
                <w:b/>
                <w:sz w:val="20"/>
              </w:rPr>
              <w:t>Professional Associations</w:t>
            </w:r>
          </w:p>
        </w:tc>
      </w:tr>
      <w:tr w:rsidR="00E03616" w:rsidRPr="00DA4655" w:rsidTr="00233EEB">
        <w:trPr>
          <w:trHeight w:val="20"/>
        </w:trPr>
        <w:tc>
          <w:tcPr>
            <w:tcW w:w="1733" w:type="pct"/>
            <w:shd w:val="clear" w:color="auto" w:fill="FFFFFF"/>
            <w:vAlign w:val="center"/>
          </w:tcPr>
          <w:p w:rsidR="00E03616" w:rsidRPr="00DA4655" w:rsidRDefault="00E03616" w:rsidP="00504B61">
            <w:pPr>
              <w:spacing w:before="120" w:after="120"/>
              <w:rPr>
                <w:sz w:val="20"/>
              </w:rPr>
            </w:pPr>
            <w:r w:rsidRPr="00DA4655">
              <w:rPr>
                <w:sz w:val="20"/>
              </w:rPr>
              <w:t>Marina Houston</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ATESOL</w:t>
            </w:r>
          </w:p>
        </w:tc>
      </w:tr>
      <w:tr w:rsidR="00E03616" w:rsidRPr="00DA4655" w:rsidTr="00233EEB">
        <w:trPr>
          <w:trHeight w:val="20"/>
        </w:trPr>
        <w:tc>
          <w:tcPr>
            <w:tcW w:w="1733" w:type="pct"/>
            <w:shd w:val="clear" w:color="auto" w:fill="FFFFFF"/>
            <w:vAlign w:val="center"/>
          </w:tcPr>
          <w:p w:rsidR="00E03616" w:rsidRPr="00DA4655" w:rsidRDefault="00E03616" w:rsidP="00504B61">
            <w:pPr>
              <w:spacing w:before="120" w:after="120"/>
              <w:rPr>
                <w:sz w:val="20"/>
              </w:rPr>
            </w:pPr>
            <w:r w:rsidRPr="00DA4655">
              <w:rPr>
                <w:sz w:val="20"/>
              </w:rPr>
              <w:t>Kathy Griffiths</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ATESOL</w:t>
            </w:r>
          </w:p>
        </w:tc>
      </w:tr>
      <w:tr w:rsidR="00E03616" w:rsidRPr="00DA4655" w:rsidTr="00233EEB">
        <w:trPr>
          <w:trHeight w:val="20"/>
        </w:trPr>
        <w:tc>
          <w:tcPr>
            <w:tcW w:w="1733" w:type="pct"/>
            <w:shd w:val="clear" w:color="auto" w:fill="FFFFFF"/>
            <w:vAlign w:val="center"/>
          </w:tcPr>
          <w:p w:rsidR="00E03616" w:rsidRPr="00DA4655" w:rsidRDefault="00E03616" w:rsidP="00504B61">
            <w:pPr>
              <w:spacing w:before="120" w:after="120"/>
              <w:rPr>
                <w:sz w:val="20"/>
              </w:rPr>
            </w:pPr>
            <w:r w:rsidRPr="00DA4655">
              <w:rPr>
                <w:sz w:val="20"/>
              </w:rPr>
              <w:t xml:space="preserve">Misty </w:t>
            </w:r>
            <w:proofErr w:type="spellStart"/>
            <w:r w:rsidR="00394D34" w:rsidRPr="00DA4655">
              <w:rPr>
                <w:sz w:val="20"/>
              </w:rPr>
              <w:t>Adoniou</w:t>
            </w:r>
            <w:proofErr w:type="spellEnd"/>
          </w:p>
        </w:tc>
        <w:tc>
          <w:tcPr>
            <w:tcW w:w="3267" w:type="pct"/>
            <w:shd w:val="clear" w:color="auto" w:fill="FFFFFF"/>
            <w:vAlign w:val="center"/>
          </w:tcPr>
          <w:p w:rsidR="00E03616" w:rsidRPr="00DA4655" w:rsidRDefault="00E03616" w:rsidP="00504B61">
            <w:pPr>
              <w:spacing w:before="120" w:after="120"/>
              <w:rPr>
                <w:sz w:val="20"/>
              </w:rPr>
            </w:pPr>
            <w:r w:rsidRPr="00DA4655">
              <w:rPr>
                <w:sz w:val="20"/>
              </w:rPr>
              <w:t>ATESOL</w:t>
            </w:r>
          </w:p>
        </w:tc>
      </w:tr>
      <w:tr w:rsidR="00E03616" w:rsidRPr="00DA4655" w:rsidTr="00233EEB">
        <w:trPr>
          <w:trHeight w:val="20"/>
        </w:trPr>
        <w:tc>
          <w:tcPr>
            <w:tcW w:w="1733" w:type="pct"/>
            <w:shd w:val="clear" w:color="auto" w:fill="FFFFFF"/>
            <w:vAlign w:val="center"/>
          </w:tcPr>
          <w:p w:rsidR="00E03616" w:rsidRPr="00DA4655" w:rsidRDefault="00E03616" w:rsidP="00504B61">
            <w:pPr>
              <w:spacing w:before="120" w:after="120"/>
              <w:rPr>
                <w:sz w:val="20"/>
              </w:rPr>
            </w:pPr>
            <w:r w:rsidRPr="00DA4655">
              <w:rPr>
                <w:sz w:val="20"/>
              </w:rPr>
              <w:t>Helen Moore</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ATESOL</w:t>
            </w:r>
          </w:p>
        </w:tc>
      </w:tr>
      <w:tr w:rsidR="00E03616" w:rsidRPr="00DA4655" w:rsidTr="00233EEB">
        <w:trPr>
          <w:trHeight w:val="20"/>
        </w:trPr>
        <w:tc>
          <w:tcPr>
            <w:tcW w:w="1733" w:type="pct"/>
            <w:shd w:val="clear" w:color="auto" w:fill="FFFFFF"/>
            <w:vAlign w:val="center"/>
          </w:tcPr>
          <w:p w:rsidR="00E03616" w:rsidRPr="00DA4655" w:rsidRDefault="00E03616" w:rsidP="00504B61">
            <w:pPr>
              <w:spacing w:before="120" w:after="120"/>
              <w:rPr>
                <w:sz w:val="20"/>
              </w:rPr>
            </w:pPr>
            <w:r w:rsidRPr="00DA4655">
              <w:rPr>
                <w:sz w:val="20"/>
              </w:rPr>
              <w:t>Glen</w:t>
            </w:r>
            <w:r w:rsidR="00E42976" w:rsidRPr="00DA4655">
              <w:rPr>
                <w:sz w:val="20"/>
              </w:rPr>
              <w:t>n</w:t>
            </w:r>
            <w:r w:rsidRPr="00DA4655">
              <w:rPr>
                <w:sz w:val="20"/>
              </w:rPr>
              <w:t xml:space="preserve"> Fowler</w:t>
            </w:r>
          </w:p>
        </w:tc>
        <w:tc>
          <w:tcPr>
            <w:tcW w:w="3267" w:type="pct"/>
            <w:shd w:val="clear" w:color="auto" w:fill="FFFFFF"/>
            <w:vAlign w:val="center"/>
          </w:tcPr>
          <w:p w:rsidR="00E03616" w:rsidRPr="00DA4655" w:rsidRDefault="00E03616" w:rsidP="00504B61">
            <w:pPr>
              <w:spacing w:before="120" w:after="120"/>
              <w:rPr>
                <w:sz w:val="20"/>
              </w:rPr>
            </w:pPr>
            <w:r w:rsidRPr="00DA4655">
              <w:rPr>
                <w:sz w:val="20"/>
              </w:rPr>
              <w:t>AEU ACT Branch</w:t>
            </w:r>
          </w:p>
        </w:tc>
      </w:tr>
    </w:tbl>
    <w:p w:rsidR="00E03616" w:rsidRPr="00DA4655" w:rsidRDefault="00E03616" w:rsidP="00504B61">
      <w:pPr>
        <w:spacing w:before="120" w:after="120"/>
        <w:rPr>
          <w:sz w:val="2"/>
        </w:rPr>
      </w:pPr>
    </w:p>
    <w:p w:rsidR="00B90BC2" w:rsidRDefault="00B90BC2"/>
    <w:p w:rsidR="00F53002" w:rsidRDefault="00F53002"/>
    <w:tbl>
      <w:tblPr>
        <w:tblW w:w="5057" w:type="pct"/>
        <w:shd w:val="clear" w:color="auto" w:fill="FFFFFF"/>
        <w:tblLook w:val="04A0"/>
      </w:tblPr>
      <w:tblGrid>
        <w:gridCol w:w="1955"/>
        <w:gridCol w:w="3167"/>
        <w:gridCol w:w="2036"/>
        <w:gridCol w:w="2642"/>
      </w:tblGrid>
      <w:tr w:rsidR="00B17CB5" w:rsidRPr="00DA4655" w:rsidTr="00233EE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17CB5" w:rsidRPr="00DA4655" w:rsidRDefault="00B17CB5" w:rsidP="00504B61">
            <w:pPr>
              <w:spacing w:before="120" w:after="120"/>
              <w:rPr>
                <w:sz w:val="20"/>
                <w:szCs w:val="20"/>
              </w:rPr>
            </w:pPr>
            <w:r w:rsidRPr="00DA4655">
              <w:rPr>
                <w:b/>
                <w:sz w:val="20"/>
                <w:szCs w:val="20"/>
              </w:rPr>
              <w:t>EALD Teachers</w:t>
            </w:r>
          </w:p>
        </w:tc>
      </w:tr>
      <w:tr w:rsidR="00E03616"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 xml:space="preserve">Murray Chisholm </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Canberra College</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Emily Regan</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Ainslie School</w:t>
            </w:r>
          </w:p>
        </w:tc>
      </w:tr>
      <w:tr w:rsidR="00E03616"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Sue Vivian</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Turner School</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Linda Latter</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Macquarie PS</w:t>
            </w:r>
          </w:p>
        </w:tc>
      </w:tr>
      <w:tr w:rsidR="00E03616"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proofErr w:type="spellStart"/>
            <w:r w:rsidRPr="00DA4655">
              <w:rPr>
                <w:sz w:val="20"/>
                <w:szCs w:val="20"/>
              </w:rPr>
              <w:t>Peta-Gai</w:t>
            </w:r>
            <w:proofErr w:type="spellEnd"/>
            <w:r w:rsidRPr="00DA4655">
              <w:rPr>
                <w:sz w:val="20"/>
                <w:szCs w:val="20"/>
              </w:rPr>
              <w:t xml:space="preserve"> Faulkner</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Latham PS</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 xml:space="preserve">Sarah </w:t>
            </w:r>
            <w:proofErr w:type="spellStart"/>
            <w:r w:rsidRPr="00DA4655">
              <w:rPr>
                <w:sz w:val="20"/>
                <w:szCs w:val="20"/>
              </w:rPr>
              <w:t>Schipilow</w:t>
            </w:r>
            <w:proofErr w:type="spellEnd"/>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Macquarie PS</w:t>
            </w:r>
          </w:p>
        </w:tc>
      </w:tr>
      <w:tr w:rsidR="00E03616"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Heather Ferguson</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Lyneham HS</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Elizabeth Hook</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Ainslie School</w:t>
            </w:r>
          </w:p>
        </w:tc>
      </w:tr>
      <w:tr w:rsidR="00E03616"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Sandra Kelly</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Aranda PS</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 xml:space="preserve">Sue </w:t>
            </w:r>
            <w:proofErr w:type="spellStart"/>
            <w:r w:rsidRPr="00DA4655">
              <w:rPr>
                <w:sz w:val="20"/>
                <w:szCs w:val="20"/>
              </w:rPr>
              <w:t>McMurtrie</w:t>
            </w:r>
            <w:proofErr w:type="spellEnd"/>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proofErr w:type="spellStart"/>
            <w:r w:rsidRPr="00DA4655">
              <w:rPr>
                <w:sz w:val="20"/>
                <w:szCs w:val="20"/>
              </w:rPr>
              <w:t>Birrigai</w:t>
            </w:r>
            <w:proofErr w:type="spellEnd"/>
            <w:r w:rsidRPr="00DA4655">
              <w:rPr>
                <w:sz w:val="20"/>
                <w:szCs w:val="20"/>
              </w:rPr>
              <w:t xml:space="preserve"> School</w:t>
            </w:r>
          </w:p>
        </w:tc>
      </w:tr>
      <w:tr w:rsidR="00E03616"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 xml:space="preserve">Geraldine </w:t>
            </w:r>
            <w:proofErr w:type="spellStart"/>
            <w:r w:rsidRPr="00DA4655">
              <w:rPr>
                <w:sz w:val="20"/>
                <w:szCs w:val="20"/>
              </w:rPr>
              <w:t>Winnett</w:t>
            </w:r>
            <w:proofErr w:type="spellEnd"/>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Aranda PS</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Fern Hyde</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Florey PS</w:t>
            </w:r>
          </w:p>
        </w:tc>
      </w:tr>
      <w:tr w:rsidR="00E03616"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Helen Brown</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Richardson PS</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Jenny Rae</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Dickson College</w:t>
            </w:r>
          </w:p>
        </w:tc>
      </w:tr>
      <w:tr w:rsidR="00E03616" w:rsidRPr="00DA4655" w:rsidTr="00233EEB">
        <w:trPr>
          <w:trHeight w:val="181"/>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proofErr w:type="spellStart"/>
            <w:r w:rsidRPr="00DA4655">
              <w:rPr>
                <w:sz w:val="20"/>
                <w:szCs w:val="20"/>
              </w:rPr>
              <w:t>Felicite</w:t>
            </w:r>
            <w:proofErr w:type="spellEnd"/>
            <w:r w:rsidRPr="00DA4655">
              <w:rPr>
                <w:sz w:val="20"/>
                <w:szCs w:val="20"/>
              </w:rPr>
              <w:t xml:space="preserve"> Dawson</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Narrabundah ECS</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 xml:space="preserve">Lee Anne </w:t>
            </w:r>
            <w:proofErr w:type="spellStart"/>
            <w:r w:rsidRPr="00DA4655">
              <w:rPr>
                <w:sz w:val="20"/>
                <w:szCs w:val="20"/>
              </w:rPr>
              <w:t>Grunwald</w:t>
            </w:r>
            <w:proofErr w:type="spellEnd"/>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Dickson College</w:t>
            </w:r>
          </w:p>
        </w:tc>
      </w:tr>
      <w:tr w:rsidR="00E03616"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Mary Elliott</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Namadgi School</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 xml:space="preserve">Tabatha </w:t>
            </w:r>
            <w:proofErr w:type="spellStart"/>
            <w:r w:rsidRPr="00DA4655">
              <w:rPr>
                <w:sz w:val="20"/>
                <w:szCs w:val="20"/>
              </w:rPr>
              <w:t>Kellett</w:t>
            </w:r>
            <w:proofErr w:type="spellEnd"/>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Dickson College</w:t>
            </w:r>
          </w:p>
        </w:tc>
      </w:tr>
      <w:tr w:rsidR="00E03616"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 xml:space="preserve">Sue </w:t>
            </w:r>
            <w:proofErr w:type="spellStart"/>
            <w:r w:rsidRPr="00DA4655">
              <w:rPr>
                <w:sz w:val="20"/>
                <w:szCs w:val="20"/>
              </w:rPr>
              <w:t>Plaistowe</w:t>
            </w:r>
            <w:proofErr w:type="spellEnd"/>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Forrest PS</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proofErr w:type="spellStart"/>
            <w:r w:rsidRPr="00DA4655">
              <w:rPr>
                <w:sz w:val="20"/>
                <w:szCs w:val="20"/>
              </w:rPr>
              <w:t>Evie</w:t>
            </w:r>
            <w:proofErr w:type="spellEnd"/>
            <w:r w:rsidRPr="00DA4655">
              <w:rPr>
                <w:sz w:val="20"/>
                <w:szCs w:val="20"/>
              </w:rPr>
              <w:t xml:space="preserve"> </w:t>
            </w:r>
            <w:proofErr w:type="spellStart"/>
            <w:r w:rsidRPr="00DA4655">
              <w:rPr>
                <w:sz w:val="20"/>
                <w:szCs w:val="20"/>
              </w:rPr>
              <w:t>Kollas</w:t>
            </w:r>
            <w:proofErr w:type="spellEnd"/>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Dickson College</w:t>
            </w:r>
          </w:p>
        </w:tc>
      </w:tr>
      <w:tr w:rsidR="00E03616"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April Tan</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Florey PS</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Di Bruce</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Namadgi School</w:t>
            </w:r>
          </w:p>
        </w:tc>
      </w:tr>
      <w:tr w:rsidR="00E03616"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Anne McMillen</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Alfred Deakin HS</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Joan Barrington Smith</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Hughes PS</w:t>
            </w:r>
          </w:p>
        </w:tc>
      </w:tr>
      <w:tr w:rsidR="00E03616"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Tracy Webb</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Charnwood Dunlop School</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Chris Sloan</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North Ainslie PS</w:t>
            </w:r>
          </w:p>
        </w:tc>
      </w:tr>
      <w:tr w:rsidR="00E03616"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Sue A</w:t>
            </w:r>
            <w:r w:rsidR="003D66D8" w:rsidRPr="00DA4655">
              <w:rPr>
                <w:sz w:val="20"/>
                <w:szCs w:val="20"/>
              </w:rPr>
              <w:t>mundsen</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IEC Charnwood Dunlop School</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 xml:space="preserve">Graham </w:t>
            </w:r>
            <w:proofErr w:type="spellStart"/>
            <w:r w:rsidRPr="00DA4655">
              <w:rPr>
                <w:sz w:val="20"/>
                <w:szCs w:val="20"/>
              </w:rPr>
              <w:t>Stitz</w:t>
            </w:r>
            <w:proofErr w:type="spellEnd"/>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Erindale College</w:t>
            </w:r>
          </w:p>
        </w:tc>
      </w:tr>
      <w:tr w:rsidR="00E03616"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Kathryn Sutherland</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Hawker College</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Karen Bull</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Kingsford Smith School</w:t>
            </w:r>
          </w:p>
        </w:tc>
      </w:tr>
      <w:tr w:rsidR="00E03616"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Sandy Rees</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Mawson PS</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Pat Cooper</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North Ainslie PS</w:t>
            </w:r>
          </w:p>
        </w:tc>
      </w:tr>
      <w:tr w:rsidR="00E03616"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proofErr w:type="spellStart"/>
            <w:r w:rsidRPr="00DA4655">
              <w:rPr>
                <w:sz w:val="20"/>
                <w:szCs w:val="20"/>
              </w:rPr>
              <w:t>Ros</w:t>
            </w:r>
            <w:proofErr w:type="spellEnd"/>
            <w:r w:rsidRPr="00DA4655">
              <w:rPr>
                <w:sz w:val="20"/>
                <w:szCs w:val="20"/>
              </w:rPr>
              <w:t xml:space="preserve"> Phillips</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r w:rsidRPr="00DA4655">
              <w:rPr>
                <w:sz w:val="20"/>
                <w:szCs w:val="20"/>
              </w:rPr>
              <w:t>SIEC Dickson College</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E03616" w:rsidRPr="00DA4655" w:rsidRDefault="00E03616" w:rsidP="00504B61">
            <w:pPr>
              <w:spacing w:before="120" w:after="120"/>
              <w:rPr>
                <w:sz w:val="20"/>
                <w:szCs w:val="20"/>
              </w:rPr>
            </w:pPr>
          </w:p>
        </w:tc>
      </w:tr>
      <w:tr w:rsidR="00B17CB5" w:rsidRPr="00DA4655" w:rsidTr="00233EEB">
        <w:trPr>
          <w:trHeight w:val="2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B17CB5" w:rsidRPr="00DA4655" w:rsidRDefault="003D66D8" w:rsidP="00504B61">
            <w:pPr>
              <w:spacing w:before="120" w:after="120"/>
              <w:rPr>
                <w:sz w:val="20"/>
                <w:szCs w:val="20"/>
              </w:rPr>
            </w:pPr>
            <w:r w:rsidRPr="00DA4655">
              <w:rPr>
                <w:sz w:val="20"/>
                <w:szCs w:val="20"/>
              </w:rPr>
              <w:t xml:space="preserve">Heather </w:t>
            </w:r>
            <w:proofErr w:type="spellStart"/>
            <w:r w:rsidRPr="00DA4655">
              <w:rPr>
                <w:sz w:val="20"/>
                <w:szCs w:val="20"/>
              </w:rPr>
              <w:t>Dono</w:t>
            </w:r>
            <w:r w:rsidR="00B17CB5" w:rsidRPr="00DA4655">
              <w:rPr>
                <w:sz w:val="20"/>
                <w:szCs w:val="20"/>
              </w:rPr>
              <w:t>hoe</w:t>
            </w:r>
            <w:proofErr w:type="spellEnd"/>
          </w:p>
        </w:tc>
        <w:tc>
          <w:tcPr>
            <w:tcW w:w="400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7CB5" w:rsidRPr="00DA4655" w:rsidRDefault="00B17CB5" w:rsidP="00504B61">
            <w:pPr>
              <w:spacing w:before="120" w:after="120"/>
              <w:rPr>
                <w:sz w:val="20"/>
                <w:szCs w:val="20"/>
              </w:rPr>
            </w:pPr>
            <w:r w:rsidRPr="00DA4655">
              <w:rPr>
                <w:sz w:val="20"/>
                <w:szCs w:val="20"/>
              </w:rPr>
              <w:t>University of Canberra Lake Ginninderra College</w:t>
            </w:r>
          </w:p>
        </w:tc>
      </w:tr>
    </w:tbl>
    <w:p w:rsidR="00E03616" w:rsidRPr="00DA4655" w:rsidRDefault="00E03616" w:rsidP="00504B61">
      <w:pPr>
        <w:spacing w:before="120" w:after="120"/>
        <w:rPr>
          <w:sz w:val="12"/>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955"/>
        <w:gridCol w:w="3167"/>
        <w:gridCol w:w="2036"/>
        <w:gridCol w:w="2642"/>
      </w:tblGrid>
      <w:tr w:rsidR="00B17CB5" w:rsidRPr="00DA4655" w:rsidTr="00233EEB">
        <w:trPr>
          <w:trHeight w:val="20"/>
        </w:trPr>
        <w:tc>
          <w:tcPr>
            <w:tcW w:w="5000" w:type="pct"/>
            <w:gridSpan w:val="4"/>
            <w:shd w:val="clear" w:color="auto" w:fill="D9D9D9"/>
            <w:vAlign w:val="center"/>
          </w:tcPr>
          <w:p w:rsidR="00B17CB5" w:rsidRPr="00DA4655" w:rsidRDefault="00B17CB5" w:rsidP="00504B61">
            <w:pPr>
              <w:spacing w:before="120" w:after="120"/>
            </w:pPr>
            <w:r w:rsidRPr="00DA4655">
              <w:rPr>
                <w:b/>
                <w:sz w:val="20"/>
                <w:szCs w:val="20"/>
              </w:rPr>
              <w:t>Apologies</w:t>
            </w:r>
          </w:p>
        </w:tc>
      </w:tr>
      <w:tr w:rsidR="00E03616" w:rsidRPr="00DA4655" w:rsidTr="00233EEB">
        <w:trPr>
          <w:trHeight w:val="20"/>
        </w:trPr>
        <w:tc>
          <w:tcPr>
            <w:tcW w:w="997" w:type="pct"/>
            <w:shd w:val="clear" w:color="auto" w:fill="FFFFFF"/>
            <w:vAlign w:val="center"/>
          </w:tcPr>
          <w:p w:rsidR="00E03616" w:rsidRPr="00DA4655" w:rsidRDefault="003D66D8" w:rsidP="00504B61">
            <w:pPr>
              <w:spacing w:before="120" w:after="120"/>
              <w:rPr>
                <w:sz w:val="20"/>
              </w:rPr>
            </w:pPr>
            <w:r w:rsidRPr="00DA4655">
              <w:rPr>
                <w:sz w:val="20"/>
              </w:rPr>
              <w:t>Nic Manikis</w:t>
            </w:r>
          </w:p>
        </w:tc>
        <w:tc>
          <w:tcPr>
            <w:tcW w:w="1616" w:type="pct"/>
            <w:shd w:val="clear" w:color="auto" w:fill="FFFFFF"/>
            <w:vAlign w:val="center"/>
          </w:tcPr>
          <w:p w:rsidR="00E03616" w:rsidRPr="00DA4655" w:rsidRDefault="003D66D8" w:rsidP="00504B61">
            <w:pPr>
              <w:spacing w:before="120" w:after="120"/>
              <w:rPr>
                <w:sz w:val="20"/>
              </w:rPr>
            </w:pPr>
            <w:r w:rsidRPr="00DA4655">
              <w:rPr>
                <w:sz w:val="20"/>
              </w:rPr>
              <w:t>Office of Multicultural, Aboriginal and Torres Strait Islander Affairs</w:t>
            </w:r>
          </w:p>
        </w:tc>
        <w:tc>
          <w:tcPr>
            <w:tcW w:w="1039" w:type="pct"/>
            <w:shd w:val="clear" w:color="auto" w:fill="FFFFFF"/>
            <w:vAlign w:val="center"/>
          </w:tcPr>
          <w:p w:rsidR="00E03616" w:rsidRPr="00DA4655" w:rsidRDefault="003D66D8" w:rsidP="00504B61">
            <w:pPr>
              <w:spacing w:before="120" w:after="120"/>
              <w:rPr>
                <w:sz w:val="20"/>
              </w:rPr>
            </w:pPr>
            <w:r w:rsidRPr="00DA4655">
              <w:rPr>
                <w:sz w:val="20"/>
              </w:rPr>
              <w:t>Mike Battenally</w:t>
            </w:r>
          </w:p>
        </w:tc>
        <w:tc>
          <w:tcPr>
            <w:tcW w:w="1348" w:type="pct"/>
            <w:shd w:val="clear" w:color="auto" w:fill="FFFFFF"/>
            <w:vAlign w:val="center"/>
          </w:tcPr>
          <w:p w:rsidR="00E03616" w:rsidRPr="00DA4655" w:rsidRDefault="003D66D8" w:rsidP="00504B61">
            <w:pPr>
              <w:spacing w:before="120" w:after="120"/>
              <w:rPr>
                <w:sz w:val="20"/>
              </w:rPr>
            </w:pPr>
            <w:r w:rsidRPr="00DA4655">
              <w:rPr>
                <w:sz w:val="20"/>
              </w:rPr>
              <w:t>Principal Melba Copeland Secondary School</w:t>
            </w:r>
            <w:r w:rsidR="00E42976" w:rsidRPr="00DA4655">
              <w:rPr>
                <w:sz w:val="20"/>
              </w:rPr>
              <w:t>/ACTPA</w:t>
            </w:r>
          </w:p>
        </w:tc>
      </w:tr>
      <w:tr w:rsidR="00E03616" w:rsidRPr="00DA4655" w:rsidTr="00233EEB">
        <w:trPr>
          <w:trHeight w:val="20"/>
        </w:trPr>
        <w:tc>
          <w:tcPr>
            <w:tcW w:w="997" w:type="pct"/>
            <w:shd w:val="clear" w:color="auto" w:fill="FFFFFF"/>
            <w:vAlign w:val="center"/>
          </w:tcPr>
          <w:p w:rsidR="00E03616" w:rsidRPr="00DA4655" w:rsidRDefault="003D66D8" w:rsidP="00504B61">
            <w:pPr>
              <w:spacing w:before="120" w:after="120"/>
              <w:rPr>
                <w:sz w:val="20"/>
              </w:rPr>
            </w:pPr>
            <w:r w:rsidRPr="00DA4655">
              <w:rPr>
                <w:sz w:val="20"/>
              </w:rPr>
              <w:t>Amanda Andrews</w:t>
            </w:r>
          </w:p>
        </w:tc>
        <w:tc>
          <w:tcPr>
            <w:tcW w:w="1616" w:type="pct"/>
            <w:shd w:val="clear" w:color="auto" w:fill="FFFFFF"/>
            <w:vAlign w:val="center"/>
          </w:tcPr>
          <w:p w:rsidR="00E03616" w:rsidRPr="00DA4655" w:rsidRDefault="003D66D8" w:rsidP="00504B61">
            <w:pPr>
              <w:spacing w:before="120" w:after="120"/>
              <w:rPr>
                <w:sz w:val="20"/>
              </w:rPr>
            </w:pPr>
            <w:r w:rsidRPr="00DA4655">
              <w:rPr>
                <w:sz w:val="20"/>
              </w:rPr>
              <w:t>Principal – Mawson PS</w:t>
            </w:r>
          </w:p>
        </w:tc>
        <w:tc>
          <w:tcPr>
            <w:tcW w:w="1039" w:type="pct"/>
            <w:shd w:val="clear" w:color="auto" w:fill="FFFFFF"/>
            <w:vAlign w:val="center"/>
          </w:tcPr>
          <w:p w:rsidR="00E03616" w:rsidRPr="00DA4655" w:rsidRDefault="003D66D8" w:rsidP="00504B61">
            <w:pPr>
              <w:spacing w:before="120" w:after="120"/>
              <w:rPr>
                <w:sz w:val="20"/>
              </w:rPr>
            </w:pPr>
            <w:r w:rsidRPr="00DA4655">
              <w:rPr>
                <w:sz w:val="20"/>
              </w:rPr>
              <w:t>Sue Harding</w:t>
            </w:r>
          </w:p>
        </w:tc>
        <w:tc>
          <w:tcPr>
            <w:tcW w:w="1348" w:type="pct"/>
            <w:shd w:val="clear" w:color="auto" w:fill="FFFFFF"/>
            <w:vAlign w:val="center"/>
          </w:tcPr>
          <w:p w:rsidR="00E03616" w:rsidRPr="00DA4655" w:rsidRDefault="003D66D8" w:rsidP="00504B61">
            <w:pPr>
              <w:spacing w:before="120" w:after="120"/>
              <w:rPr>
                <w:sz w:val="20"/>
              </w:rPr>
            </w:pPr>
            <w:r w:rsidRPr="00DA4655">
              <w:rPr>
                <w:sz w:val="20"/>
              </w:rPr>
              <w:t>Principal Mt Rogers PS</w:t>
            </w:r>
          </w:p>
        </w:tc>
      </w:tr>
      <w:tr w:rsidR="003D66D8" w:rsidRPr="00DA4655" w:rsidTr="00233EEB">
        <w:trPr>
          <w:trHeight w:val="20"/>
        </w:trPr>
        <w:tc>
          <w:tcPr>
            <w:tcW w:w="997" w:type="pct"/>
            <w:shd w:val="clear" w:color="auto" w:fill="FFFFFF"/>
            <w:vAlign w:val="center"/>
          </w:tcPr>
          <w:p w:rsidR="003D66D8" w:rsidRPr="00DA4655" w:rsidRDefault="003D66D8" w:rsidP="00504B61">
            <w:pPr>
              <w:spacing w:before="120" w:after="120"/>
              <w:rPr>
                <w:sz w:val="20"/>
              </w:rPr>
            </w:pPr>
            <w:r w:rsidRPr="00DA4655">
              <w:rPr>
                <w:sz w:val="20"/>
              </w:rPr>
              <w:t>Sue Jose</w:t>
            </w:r>
          </w:p>
        </w:tc>
        <w:tc>
          <w:tcPr>
            <w:tcW w:w="1616" w:type="pct"/>
            <w:shd w:val="clear" w:color="auto" w:fill="FFFFFF"/>
            <w:vAlign w:val="center"/>
          </w:tcPr>
          <w:p w:rsidR="003D66D8" w:rsidRPr="00DA4655" w:rsidRDefault="003D66D8" w:rsidP="00504B61">
            <w:pPr>
              <w:spacing w:before="120" w:after="120"/>
              <w:rPr>
                <w:sz w:val="20"/>
              </w:rPr>
            </w:pPr>
            <w:r w:rsidRPr="00DA4655">
              <w:rPr>
                <w:sz w:val="20"/>
              </w:rPr>
              <w:t>Principal – Gold Creek School</w:t>
            </w:r>
          </w:p>
        </w:tc>
        <w:tc>
          <w:tcPr>
            <w:tcW w:w="1039" w:type="pct"/>
            <w:shd w:val="clear" w:color="auto" w:fill="FFFFFF"/>
            <w:vAlign w:val="center"/>
          </w:tcPr>
          <w:p w:rsidR="003D66D8" w:rsidRPr="00DA4655" w:rsidRDefault="003D66D8" w:rsidP="00504B61">
            <w:pPr>
              <w:spacing w:before="120" w:after="120"/>
              <w:rPr>
                <w:sz w:val="20"/>
              </w:rPr>
            </w:pPr>
            <w:proofErr w:type="spellStart"/>
            <w:r w:rsidRPr="00DA4655">
              <w:rPr>
                <w:sz w:val="20"/>
              </w:rPr>
              <w:t>Julietta</w:t>
            </w:r>
            <w:proofErr w:type="spellEnd"/>
            <w:r w:rsidRPr="00DA4655">
              <w:rPr>
                <w:sz w:val="20"/>
              </w:rPr>
              <w:t xml:space="preserve"> Cameron</w:t>
            </w:r>
          </w:p>
        </w:tc>
        <w:tc>
          <w:tcPr>
            <w:tcW w:w="1348" w:type="pct"/>
            <w:shd w:val="clear" w:color="auto" w:fill="FFFFFF"/>
            <w:vAlign w:val="center"/>
          </w:tcPr>
          <w:p w:rsidR="003D66D8" w:rsidRPr="00DA4655" w:rsidRDefault="003D66D8" w:rsidP="00504B61">
            <w:pPr>
              <w:spacing w:before="120" w:after="120"/>
              <w:rPr>
                <w:sz w:val="20"/>
              </w:rPr>
            </w:pPr>
            <w:r w:rsidRPr="00DA4655">
              <w:rPr>
                <w:sz w:val="20"/>
              </w:rPr>
              <w:t>Aranda PS</w:t>
            </w:r>
          </w:p>
        </w:tc>
      </w:tr>
    </w:tbl>
    <w:p w:rsidR="005A5C9A" w:rsidRDefault="005A5C9A" w:rsidP="00C13B7C">
      <w:pPr>
        <w:pStyle w:val="Heading2"/>
      </w:pPr>
      <w:bookmarkStart w:id="119" w:name="_Toc320010951"/>
      <w:bookmarkStart w:id="120" w:name="_Toc320282513"/>
      <w:bookmarkStart w:id="121" w:name="_Toc320621390"/>
    </w:p>
    <w:p w:rsidR="008F24E8" w:rsidRDefault="008F24E8" w:rsidP="00C13B7C">
      <w:pPr>
        <w:pStyle w:val="Heading2"/>
      </w:pPr>
    </w:p>
    <w:p w:rsidR="006F711E" w:rsidRPr="00A93DFC" w:rsidRDefault="008F24E8" w:rsidP="00C13B7C">
      <w:pPr>
        <w:pStyle w:val="Heading2"/>
      </w:pPr>
      <w:r>
        <w:br w:type="page"/>
      </w:r>
      <w:bookmarkStart w:id="122" w:name="_Toc322080331"/>
      <w:bookmarkStart w:id="123" w:name="_Toc322083132"/>
      <w:bookmarkEnd w:id="119"/>
      <w:bookmarkEnd w:id="120"/>
      <w:bookmarkEnd w:id="121"/>
      <w:r w:rsidR="006F711E" w:rsidRPr="00A93DFC">
        <w:t xml:space="preserve">Appendix </w:t>
      </w:r>
      <w:r w:rsidR="00050F55">
        <w:t>4</w:t>
      </w:r>
      <w:r w:rsidR="006F711E" w:rsidRPr="00A93DFC">
        <w:t xml:space="preserve">.2 </w:t>
      </w:r>
      <w:r w:rsidR="006F711E" w:rsidRPr="00A93DFC">
        <w:tab/>
        <w:t>Stakeholder Forum – Background Paper</w:t>
      </w:r>
      <w:bookmarkEnd w:id="122"/>
      <w:bookmarkEnd w:id="123"/>
    </w:p>
    <w:p w:rsidR="00A545CB" w:rsidRPr="006464CF" w:rsidRDefault="002A7D49" w:rsidP="00A545CB">
      <w:pPr>
        <w:spacing w:before="120" w:after="120"/>
        <w:rPr>
          <w:b/>
          <w:sz w:val="24"/>
          <w:szCs w:val="24"/>
        </w:rPr>
      </w:pPr>
      <w:r>
        <w:rPr>
          <w:b/>
          <w:noProof/>
          <w:sz w:val="24"/>
          <w:szCs w:val="24"/>
          <w:lang w:eastAsia="en-AU"/>
        </w:rPr>
        <w:pict>
          <v:shape id="_x0000_s1038" type="#_x0000_t202" style="position:absolute;margin-left:-29.25pt;margin-top:-25.3pt;width:23.25pt;height:3.55pt;z-index:251658752;mso-width-relative:margin;mso-height-relative:margin" strokecolor="white">
            <v:textbox style="mso-next-textbox:#_x0000_s1038">
              <w:txbxContent>
                <w:p w:rsidR="00C16B47" w:rsidRPr="006464CF" w:rsidRDefault="00C16B47" w:rsidP="006464CF"/>
              </w:txbxContent>
            </v:textbox>
          </v:shape>
        </w:pict>
      </w:r>
      <w:r w:rsidR="00A545CB" w:rsidRPr="006464CF">
        <w:rPr>
          <w:b/>
          <w:sz w:val="24"/>
          <w:szCs w:val="24"/>
        </w:rPr>
        <w:t>Provision of EALD Services in ACT Public Schools</w:t>
      </w:r>
    </w:p>
    <w:p w:rsidR="00067393" w:rsidRDefault="00A545CB" w:rsidP="00A545CB">
      <w:pPr>
        <w:spacing w:before="120" w:after="120"/>
        <w:rPr>
          <w:b/>
          <w:szCs w:val="28"/>
        </w:rPr>
      </w:pPr>
      <w:r w:rsidRPr="006464CF">
        <w:rPr>
          <w:b/>
          <w:sz w:val="24"/>
          <w:szCs w:val="24"/>
        </w:rPr>
        <w:t>Current Services</w:t>
      </w:r>
      <w:r w:rsidR="000073DA">
        <w:rPr>
          <w:b/>
          <w:sz w:val="24"/>
          <w:szCs w:val="24"/>
        </w:rPr>
        <w:br/>
      </w:r>
    </w:p>
    <w:p w:rsidR="00A545CB" w:rsidRPr="000073DA" w:rsidRDefault="00A545CB" w:rsidP="00A545CB">
      <w:pPr>
        <w:spacing w:before="120" w:after="120"/>
        <w:rPr>
          <w:b/>
          <w:sz w:val="24"/>
          <w:szCs w:val="24"/>
        </w:rPr>
      </w:pPr>
      <w:r w:rsidRPr="00DA4655">
        <w:rPr>
          <w:b/>
          <w:szCs w:val="28"/>
        </w:rPr>
        <w:t>Introductory English Centres</w:t>
      </w:r>
      <w:r w:rsidRPr="00DA4655">
        <w:rPr>
          <w:b/>
          <w:szCs w:val="28"/>
        </w:rPr>
        <w:br/>
      </w:r>
      <w:r w:rsidRPr="00DA4655">
        <w:rPr>
          <w:szCs w:val="24"/>
        </w:rPr>
        <w:t>Four primary IECs provide intensive English language services are strategically located within each of the School Networks across the ACT.  The fourth unit open</w:t>
      </w:r>
      <w:r w:rsidR="00F53002">
        <w:rPr>
          <w:szCs w:val="24"/>
        </w:rPr>
        <w:t>ed</w:t>
      </w:r>
      <w:r w:rsidRPr="00DA4655">
        <w:rPr>
          <w:szCs w:val="24"/>
        </w:rPr>
        <w:t xml:space="preserve"> in 2012 at Charnwood Dunlop Primary School.  Students in these units receive 20 weeks of targeted language work with the possibility of a further 10 week extension. The secondary school unit at Dickson College accepts enrolments from across the ACT.  The SIEC offers a three level program that provide</w:t>
      </w:r>
      <w:r w:rsidR="00F53002">
        <w:rPr>
          <w:szCs w:val="24"/>
        </w:rPr>
        <w:t>s</w:t>
      </w:r>
      <w:r w:rsidRPr="00DA4655">
        <w:rPr>
          <w:szCs w:val="24"/>
        </w:rPr>
        <w:t xml:space="preserve"> between 10 -30 weeks of targeted language instruction.</w:t>
      </w:r>
      <w:r w:rsidR="00360B45">
        <w:rPr>
          <w:szCs w:val="24"/>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1326"/>
        <w:gridCol w:w="1327"/>
        <w:gridCol w:w="1327"/>
      </w:tblGrid>
      <w:tr w:rsidR="00A545CB" w:rsidRPr="00DA4655" w:rsidTr="00A545CB">
        <w:trPr>
          <w:trHeight w:hRule="exact" w:val="455"/>
        </w:trPr>
        <w:tc>
          <w:tcPr>
            <w:tcW w:w="1940" w:type="dxa"/>
          </w:tcPr>
          <w:p w:rsidR="00A545CB" w:rsidRPr="000073DA" w:rsidRDefault="00A545CB" w:rsidP="00A545CB">
            <w:pPr>
              <w:spacing w:before="120" w:after="120"/>
              <w:rPr>
                <w:b/>
              </w:rPr>
            </w:pPr>
            <w:r w:rsidRPr="000073DA">
              <w:rPr>
                <w:b/>
              </w:rPr>
              <w:t>IEC enrolments</w:t>
            </w:r>
          </w:p>
        </w:tc>
        <w:tc>
          <w:tcPr>
            <w:tcW w:w="1326" w:type="dxa"/>
          </w:tcPr>
          <w:p w:rsidR="00A545CB" w:rsidRPr="000073DA" w:rsidRDefault="00A545CB" w:rsidP="00A545CB">
            <w:pPr>
              <w:spacing w:before="120" w:after="120"/>
              <w:rPr>
                <w:b/>
              </w:rPr>
            </w:pPr>
            <w:r w:rsidRPr="000073DA">
              <w:rPr>
                <w:b/>
              </w:rPr>
              <w:t>2009</w:t>
            </w:r>
          </w:p>
        </w:tc>
        <w:tc>
          <w:tcPr>
            <w:tcW w:w="1327" w:type="dxa"/>
          </w:tcPr>
          <w:p w:rsidR="00A545CB" w:rsidRPr="000073DA" w:rsidRDefault="00A545CB" w:rsidP="00A545CB">
            <w:pPr>
              <w:spacing w:before="120" w:after="120"/>
              <w:rPr>
                <w:b/>
              </w:rPr>
            </w:pPr>
            <w:r w:rsidRPr="000073DA">
              <w:rPr>
                <w:b/>
              </w:rPr>
              <w:t>2010</w:t>
            </w:r>
          </w:p>
        </w:tc>
        <w:tc>
          <w:tcPr>
            <w:tcW w:w="1327" w:type="dxa"/>
          </w:tcPr>
          <w:p w:rsidR="00A545CB" w:rsidRPr="000073DA" w:rsidRDefault="00A545CB" w:rsidP="00A545CB">
            <w:pPr>
              <w:spacing w:before="120" w:after="120"/>
              <w:rPr>
                <w:b/>
              </w:rPr>
            </w:pPr>
            <w:r w:rsidRPr="000073DA">
              <w:rPr>
                <w:b/>
              </w:rPr>
              <w:t>2011</w:t>
            </w:r>
          </w:p>
        </w:tc>
      </w:tr>
      <w:tr w:rsidR="00A545CB" w:rsidRPr="00DA4655" w:rsidTr="00A545CB">
        <w:trPr>
          <w:trHeight w:hRule="exact" w:val="530"/>
        </w:trPr>
        <w:tc>
          <w:tcPr>
            <w:tcW w:w="1940" w:type="dxa"/>
          </w:tcPr>
          <w:p w:rsidR="00A545CB" w:rsidRPr="000073DA" w:rsidRDefault="00A545CB" w:rsidP="00A545CB">
            <w:pPr>
              <w:spacing w:before="120" w:after="120"/>
            </w:pPr>
            <w:r w:rsidRPr="000073DA">
              <w:t>Primary</w:t>
            </w:r>
          </w:p>
        </w:tc>
        <w:tc>
          <w:tcPr>
            <w:tcW w:w="1326" w:type="dxa"/>
          </w:tcPr>
          <w:p w:rsidR="00A545CB" w:rsidRPr="000073DA" w:rsidRDefault="00A545CB" w:rsidP="00A545CB">
            <w:pPr>
              <w:spacing w:before="120" w:after="120"/>
            </w:pPr>
            <w:r w:rsidRPr="000073DA">
              <w:t>448</w:t>
            </w:r>
          </w:p>
        </w:tc>
        <w:tc>
          <w:tcPr>
            <w:tcW w:w="1327" w:type="dxa"/>
          </w:tcPr>
          <w:p w:rsidR="00A545CB" w:rsidRPr="000073DA" w:rsidRDefault="00A545CB" w:rsidP="00A545CB">
            <w:pPr>
              <w:spacing w:before="120" w:after="120"/>
            </w:pPr>
            <w:r w:rsidRPr="000073DA">
              <w:t>349</w:t>
            </w:r>
          </w:p>
        </w:tc>
        <w:tc>
          <w:tcPr>
            <w:tcW w:w="1327" w:type="dxa"/>
          </w:tcPr>
          <w:p w:rsidR="00A545CB" w:rsidRPr="000073DA" w:rsidRDefault="00A545CB" w:rsidP="00A545CB">
            <w:pPr>
              <w:spacing w:before="120" w:after="120"/>
            </w:pPr>
            <w:r w:rsidRPr="000073DA">
              <w:t>325</w:t>
            </w:r>
          </w:p>
        </w:tc>
      </w:tr>
      <w:tr w:rsidR="00A545CB" w:rsidRPr="00DA4655" w:rsidTr="00A545CB">
        <w:trPr>
          <w:trHeight w:hRule="exact" w:val="464"/>
        </w:trPr>
        <w:tc>
          <w:tcPr>
            <w:tcW w:w="1940" w:type="dxa"/>
          </w:tcPr>
          <w:p w:rsidR="00A545CB" w:rsidRPr="000073DA" w:rsidRDefault="00A545CB" w:rsidP="00A545CB">
            <w:pPr>
              <w:spacing w:before="120" w:after="120"/>
            </w:pPr>
            <w:r w:rsidRPr="000073DA">
              <w:t>Secondary</w:t>
            </w:r>
          </w:p>
        </w:tc>
        <w:tc>
          <w:tcPr>
            <w:tcW w:w="1326" w:type="dxa"/>
          </w:tcPr>
          <w:p w:rsidR="00A545CB" w:rsidRPr="000073DA" w:rsidRDefault="00A545CB" w:rsidP="00A545CB">
            <w:pPr>
              <w:spacing w:before="120" w:after="120"/>
            </w:pPr>
            <w:r w:rsidRPr="000073DA">
              <w:t>187</w:t>
            </w:r>
          </w:p>
        </w:tc>
        <w:tc>
          <w:tcPr>
            <w:tcW w:w="1327" w:type="dxa"/>
          </w:tcPr>
          <w:p w:rsidR="00A545CB" w:rsidRPr="000073DA" w:rsidRDefault="00A545CB" w:rsidP="00A545CB">
            <w:pPr>
              <w:spacing w:before="120" w:after="120"/>
            </w:pPr>
            <w:r w:rsidRPr="000073DA">
              <w:t>175</w:t>
            </w:r>
          </w:p>
        </w:tc>
        <w:tc>
          <w:tcPr>
            <w:tcW w:w="1327" w:type="dxa"/>
          </w:tcPr>
          <w:p w:rsidR="00A545CB" w:rsidRPr="000073DA" w:rsidRDefault="00A545CB" w:rsidP="00A545CB">
            <w:pPr>
              <w:spacing w:before="120" w:after="120"/>
            </w:pPr>
            <w:r w:rsidRPr="000073DA">
              <w:t>127</w:t>
            </w:r>
          </w:p>
        </w:tc>
      </w:tr>
      <w:tr w:rsidR="00A545CB" w:rsidRPr="00DA4655" w:rsidTr="00A545CB">
        <w:trPr>
          <w:trHeight w:hRule="exact" w:val="418"/>
        </w:trPr>
        <w:tc>
          <w:tcPr>
            <w:tcW w:w="1940" w:type="dxa"/>
          </w:tcPr>
          <w:p w:rsidR="00A545CB" w:rsidRPr="000073DA" w:rsidRDefault="00A545CB" w:rsidP="00A545CB">
            <w:pPr>
              <w:spacing w:before="120" w:after="120"/>
            </w:pPr>
            <w:r w:rsidRPr="000073DA">
              <w:t>Total</w:t>
            </w:r>
          </w:p>
        </w:tc>
        <w:tc>
          <w:tcPr>
            <w:tcW w:w="1326" w:type="dxa"/>
          </w:tcPr>
          <w:p w:rsidR="00A545CB" w:rsidRPr="000073DA" w:rsidRDefault="00A545CB" w:rsidP="00A545CB">
            <w:pPr>
              <w:spacing w:before="120" w:after="120"/>
            </w:pPr>
            <w:r w:rsidRPr="000073DA">
              <w:t>635</w:t>
            </w:r>
          </w:p>
        </w:tc>
        <w:tc>
          <w:tcPr>
            <w:tcW w:w="1327" w:type="dxa"/>
          </w:tcPr>
          <w:p w:rsidR="00A545CB" w:rsidRPr="000073DA" w:rsidRDefault="00A545CB" w:rsidP="00A545CB">
            <w:pPr>
              <w:spacing w:before="120" w:after="120"/>
            </w:pPr>
            <w:r w:rsidRPr="000073DA">
              <w:t>524</w:t>
            </w:r>
          </w:p>
        </w:tc>
        <w:tc>
          <w:tcPr>
            <w:tcW w:w="1327" w:type="dxa"/>
          </w:tcPr>
          <w:p w:rsidR="00A545CB" w:rsidRPr="000073DA" w:rsidRDefault="00A545CB" w:rsidP="00A545CB">
            <w:pPr>
              <w:spacing w:before="120" w:after="120"/>
            </w:pPr>
            <w:r w:rsidRPr="000073DA">
              <w:t>452</w:t>
            </w:r>
          </w:p>
        </w:tc>
      </w:tr>
    </w:tbl>
    <w:p w:rsidR="00A545CB" w:rsidRPr="00DA4655" w:rsidRDefault="000073DA" w:rsidP="00A545CB">
      <w:pPr>
        <w:spacing w:before="120" w:after="120"/>
        <w:rPr>
          <w:b/>
          <w:szCs w:val="24"/>
        </w:rPr>
      </w:pPr>
      <w:r>
        <w:rPr>
          <w:b/>
          <w:szCs w:val="24"/>
        </w:rPr>
        <w:br/>
      </w:r>
      <w:r w:rsidR="00A545CB" w:rsidRPr="00DA4655">
        <w:rPr>
          <w:b/>
          <w:szCs w:val="24"/>
        </w:rPr>
        <w:t>Early Entry Preschool Placement</w:t>
      </w:r>
      <w:r w:rsidR="00A545CB" w:rsidRPr="00DA4655">
        <w:rPr>
          <w:b/>
          <w:szCs w:val="24"/>
        </w:rPr>
        <w:br/>
      </w:r>
      <w:r w:rsidR="00A545CB" w:rsidRPr="00DA4655">
        <w:rPr>
          <w:szCs w:val="24"/>
        </w:rPr>
        <w:t>Placements are made for eligible children in the semester prior to their preschool year and are available from the beginning of Term 3.  Children accompanied by the parent are offered a preschool program for a maximum of 6 hours per week.</w:t>
      </w:r>
      <w:r w:rsidR="00360B45">
        <w:rPr>
          <w:szCs w:val="24"/>
        </w:rPr>
        <w:br/>
      </w:r>
    </w:p>
    <w:p w:rsidR="00A545CB" w:rsidRPr="00360B45" w:rsidRDefault="00A545CB" w:rsidP="00A545CB">
      <w:pPr>
        <w:spacing w:before="120" w:after="120"/>
        <w:rPr>
          <w:rFonts w:cs="Calibri"/>
          <w:lang w:val="en-GB"/>
        </w:rPr>
      </w:pPr>
      <w:r w:rsidRPr="00DA4655">
        <w:rPr>
          <w:b/>
          <w:szCs w:val="24"/>
        </w:rPr>
        <w:t>EALD support in Primary and Secondary Schools</w:t>
      </w:r>
      <w:r w:rsidRPr="00DA4655">
        <w:rPr>
          <w:b/>
          <w:szCs w:val="24"/>
        </w:rPr>
        <w:br/>
      </w:r>
      <w:r w:rsidRPr="00360B45">
        <w:rPr>
          <w:rFonts w:cs="Calibri"/>
          <w:lang w:val="en-GB"/>
        </w:rPr>
        <w:t>Students are eligible for focused support from EALD staff if they meet the following criteria:</w:t>
      </w:r>
    </w:p>
    <w:p w:rsidR="00A545CB" w:rsidRPr="00DA4655" w:rsidRDefault="00A545CB" w:rsidP="008F35EE">
      <w:pPr>
        <w:numPr>
          <w:ilvl w:val="0"/>
          <w:numId w:val="37"/>
        </w:numPr>
        <w:spacing w:before="120" w:after="120"/>
        <w:rPr>
          <w:rFonts w:cs="Calibri"/>
          <w:i/>
          <w:lang w:val="en-GB"/>
        </w:rPr>
      </w:pPr>
      <w:r w:rsidRPr="00DA4655">
        <w:rPr>
          <w:rFonts w:cs="Calibri"/>
          <w:i/>
          <w:lang w:val="en-GB"/>
        </w:rPr>
        <w:t xml:space="preserve">the student or one or both parents were born overseas in a non-English speaking country or identifies as an Aboriginal or Torres Strait Islander, </w:t>
      </w:r>
      <w:r w:rsidRPr="00DA4655">
        <w:rPr>
          <w:rFonts w:cs="Calibri"/>
          <w:i/>
          <w:u w:val="single"/>
          <w:lang w:val="en-GB"/>
        </w:rPr>
        <w:t>and</w:t>
      </w:r>
    </w:p>
    <w:p w:rsidR="00A545CB" w:rsidRPr="00DA4655" w:rsidRDefault="00A545CB" w:rsidP="008F35EE">
      <w:pPr>
        <w:numPr>
          <w:ilvl w:val="0"/>
          <w:numId w:val="37"/>
        </w:numPr>
        <w:spacing w:before="120" w:after="120"/>
        <w:rPr>
          <w:rFonts w:cs="Calibri"/>
          <w:i/>
          <w:lang w:val="en-GB"/>
        </w:rPr>
      </w:pPr>
      <w:r w:rsidRPr="00DA4655">
        <w:rPr>
          <w:rFonts w:cs="Calibri"/>
          <w:i/>
          <w:lang w:val="en-GB"/>
        </w:rPr>
        <w:t xml:space="preserve">a language other than English is spoken at home, </w:t>
      </w:r>
      <w:r w:rsidRPr="00DA4655">
        <w:rPr>
          <w:rFonts w:cs="Calibri"/>
          <w:i/>
          <w:u w:val="single"/>
          <w:lang w:val="en-GB"/>
        </w:rPr>
        <w:t>and</w:t>
      </w:r>
    </w:p>
    <w:p w:rsidR="00A545CB" w:rsidRPr="00DA4655" w:rsidRDefault="00A545CB" w:rsidP="008F35EE">
      <w:pPr>
        <w:numPr>
          <w:ilvl w:val="0"/>
          <w:numId w:val="37"/>
        </w:numPr>
        <w:spacing w:before="120" w:after="120"/>
        <w:rPr>
          <w:rFonts w:cs="Calibri"/>
          <w:i/>
          <w:lang w:val="en-GB"/>
        </w:rPr>
      </w:pPr>
      <w:r w:rsidRPr="00DA4655">
        <w:rPr>
          <w:rFonts w:cs="Calibri"/>
          <w:i/>
          <w:lang w:val="en-GB"/>
        </w:rPr>
        <w:t xml:space="preserve">the student has not been enrolled in Australian schooling for more than seven years, </w:t>
      </w:r>
      <w:r w:rsidRPr="00DA4655">
        <w:rPr>
          <w:rFonts w:cs="Calibri"/>
          <w:i/>
          <w:u w:val="single"/>
          <w:lang w:val="en-GB"/>
        </w:rPr>
        <w:t>and</w:t>
      </w:r>
      <w:r w:rsidRPr="00DA4655">
        <w:rPr>
          <w:rFonts w:cs="Calibri"/>
          <w:i/>
          <w:lang w:val="en-GB"/>
        </w:rPr>
        <w:t xml:space="preserve"> </w:t>
      </w:r>
    </w:p>
    <w:p w:rsidR="00A545CB" w:rsidRPr="00360B45" w:rsidRDefault="00A545CB" w:rsidP="008F35EE">
      <w:pPr>
        <w:numPr>
          <w:ilvl w:val="0"/>
          <w:numId w:val="37"/>
        </w:numPr>
        <w:spacing w:before="120" w:after="120"/>
        <w:rPr>
          <w:rFonts w:cs="Calibri"/>
          <w:lang w:val="en-GB"/>
        </w:rPr>
      </w:pPr>
      <w:proofErr w:type="gramStart"/>
      <w:r w:rsidRPr="00DA4655">
        <w:rPr>
          <w:rFonts w:cs="Calibri"/>
          <w:i/>
          <w:lang w:val="en-GB"/>
        </w:rPr>
        <w:t>the</w:t>
      </w:r>
      <w:proofErr w:type="gramEnd"/>
      <w:r w:rsidRPr="00DA4655">
        <w:rPr>
          <w:rFonts w:cs="Calibri"/>
          <w:i/>
          <w:lang w:val="en-GB"/>
        </w:rPr>
        <w:t xml:space="preserve"> student requires additional support to assist them to develop English language proficiency.</w:t>
      </w:r>
      <w:r w:rsidR="00360B45">
        <w:rPr>
          <w:rFonts w:cs="Calibri"/>
          <w:i/>
          <w:lang w:val="en-GB"/>
        </w:rPr>
        <w:br/>
      </w:r>
    </w:p>
    <w:p w:rsidR="00A545CB" w:rsidRPr="00360B45" w:rsidRDefault="00A545CB" w:rsidP="00A545CB">
      <w:pPr>
        <w:spacing w:before="120" w:after="120"/>
        <w:rPr>
          <w:rFonts w:cs="Calibri"/>
          <w:b/>
        </w:rPr>
      </w:pPr>
      <w:r w:rsidRPr="00360B45">
        <w:rPr>
          <w:rFonts w:cs="Calibri"/>
          <w:b/>
        </w:rPr>
        <w:t>English as an Additional Language (EALD) Program Procedural Manual</w:t>
      </w:r>
    </w:p>
    <w:p w:rsidR="00A545CB" w:rsidRPr="00DA4655" w:rsidRDefault="00A545CB" w:rsidP="00A545CB">
      <w:pPr>
        <w:spacing w:before="120" w:after="120"/>
        <w:rPr>
          <w:rFonts w:cs="Calibri"/>
        </w:rPr>
      </w:pPr>
      <w:r w:rsidRPr="00DA4655">
        <w:rPr>
          <w:rFonts w:cs="Calibri"/>
        </w:rPr>
        <w:t xml:space="preserve">Schools determine the most effective way to manage their EALD program within the available teaching resources, the identified </w:t>
      </w:r>
      <w:r w:rsidRPr="00DA4655">
        <w:rPr>
          <w:rFonts w:cs="Calibri"/>
          <w:bCs/>
        </w:rPr>
        <w:t>needs of the students and their location in the school.</w:t>
      </w:r>
      <w:r w:rsidRPr="00DA4655">
        <w:rPr>
          <w:rFonts w:cs="Calibri"/>
        </w:rPr>
        <w:t xml:space="preserve">  EALD programs operate as an integral part of the whole school curriculum and EALD teachers work in co-operation with class teachers and other specialist teachers on programming, planning, assessment and reporting. </w:t>
      </w:r>
    </w:p>
    <w:p w:rsidR="00360B45" w:rsidRDefault="00A545CB" w:rsidP="00A545CB">
      <w:pPr>
        <w:spacing w:before="120" w:after="120"/>
        <w:rPr>
          <w:rFonts w:cs="Calibri"/>
        </w:rPr>
      </w:pPr>
      <w:r w:rsidRPr="00DA4655">
        <w:rPr>
          <w:rFonts w:cs="Calibri"/>
        </w:rPr>
        <w:t>All ACT colleges offer a range of tertiary accredited and registered ESL courses.  These courses further support the language acquisition skills of EALD students.</w:t>
      </w:r>
      <w:r w:rsidR="00360B45">
        <w:rPr>
          <w:rFonts w:cs="Calibri"/>
        </w:rPr>
        <w:br/>
      </w:r>
    </w:p>
    <w:p w:rsidR="00A545CB" w:rsidRPr="00DA4655" w:rsidRDefault="00A545CB" w:rsidP="00A545CB">
      <w:pPr>
        <w:spacing w:before="120" w:after="120"/>
        <w:rPr>
          <w:rFonts w:cs="Calibri"/>
          <w:b/>
        </w:rPr>
      </w:pPr>
      <w:r w:rsidRPr="00DA4655">
        <w:rPr>
          <w:rFonts w:cs="Calibri"/>
          <w:b/>
        </w:rPr>
        <w:t>Other Initiatives and Services</w:t>
      </w:r>
    </w:p>
    <w:p w:rsidR="00A545CB" w:rsidRPr="00DA4655" w:rsidRDefault="00A545CB" w:rsidP="008F35EE">
      <w:pPr>
        <w:numPr>
          <w:ilvl w:val="0"/>
          <w:numId w:val="38"/>
        </w:numPr>
        <w:spacing w:before="120" w:after="120"/>
        <w:rPr>
          <w:rFonts w:cs="Calibri"/>
        </w:rPr>
      </w:pPr>
      <w:r w:rsidRPr="00DA4655">
        <w:rPr>
          <w:rFonts w:cs="Calibri"/>
        </w:rPr>
        <w:t>College Refugee Bridging program run by Dickson College</w:t>
      </w:r>
    </w:p>
    <w:p w:rsidR="00A545CB" w:rsidRPr="00DA4655" w:rsidRDefault="00A545CB" w:rsidP="008F35EE">
      <w:pPr>
        <w:numPr>
          <w:ilvl w:val="0"/>
          <w:numId w:val="38"/>
        </w:numPr>
        <w:spacing w:before="120" w:after="120"/>
        <w:rPr>
          <w:rFonts w:cs="Calibri"/>
        </w:rPr>
      </w:pPr>
      <w:r w:rsidRPr="00DA4655">
        <w:rPr>
          <w:rFonts w:cs="Calibri"/>
        </w:rPr>
        <w:t>Refugee Support 2012 Pilot Program - Kingsford Smith School &amp; University of Canberra Lake Ginninderra College (starting later this year)</w:t>
      </w:r>
    </w:p>
    <w:p w:rsidR="00A545CB" w:rsidRPr="00DA4655" w:rsidRDefault="00A545CB" w:rsidP="008F35EE">
      <w:pPr>
        <w:numPr>
          <w:ilvl w:val="0"/>
          <w:numId w:val="38"/>
        </w:numPr>
        <w:spacing w:before="120" w:after="120"/>
        <w:rPr>
          <w:rFonts w:cs="Calibri"/>
        </w:rPr>
      </w:pPr>
      <w:r w:rsidRPr="00DA4655">
        <w:rPr>
          <w:rFonts w:cs="Calibri"/>
        </w:rPr>
        <w:t>Provision of transport support for IEC students who meet eligibility criteria</w:t>
      </w:r>
    </w:p>
    <w:p w:rsidR="00A545CB" w:rsidRPr="00DA4655" w:rsidRDefault="00A545CB" w:rsidP="008F35EE">
      <w:pPr>
        <w:numPr>
          <w:ilvl w:val="0"/>
          <w:numId w:val="38"/>
        </w:numPr>
        <w:spacing w:before="120" w:after="120"/>
        <w:rPr>
          <w:rFonts w:cs="Calibri"/>
        </w:rPr>
      </w:pPr>
      <w:r w:rsidRPr="00DA4655">
        <w:rPr>
          <w:rFonts w:cs="Calibri"/>
        </w:rPr>
        <w:t>Provision of translator services to IEC units</w:t>
      </w:r>
      <w:r w:rsidR="00360B45">
        <w:rPr>
          <w:rFonts w:cs="Calibri"/>
        </w:rPr>
        <w:br/>
      </w:r>
    </w:p>
    <w:p w:rsidR="00196E82" w:rsidRDefault="00A545CB" w:rsidP="00984FAD">
      <w:pPr>
        <w:spacing w:before="120" w:after="0"/>
        <w:rPr>
          <w:rFonts w:cs="Calibri"/>
        </w:rPr>
      </w:pPr>
      <w:r w:rsidRPr="00DA4655">
        <w:rPr>
          <w:rFonts w:cs="Calibri"/>
          <w:b/>
        </w:rPr>
        <w:t>Finances</w:t>
      </w:r>
      <w:r w:rsidRPr="00DA4655">
        <w:rPr>
          <w:rFonts w:cs="Calibri"/>
          <w:b/>
        </w:rPr>
        <w:br/>
      </w:r>
      <w:r w:rsidRPr="00DA4655">
        <w:rPr>
          <w:rFonts w:cs="Calibri"/>
        </w:rPr>
        <w:t>$8 million was provided by the ACT Government for the provision of ESL Services for 2011-12.</w:t>
      </w:r>
    </w:p>
    <w:p w:rsidR="00984FAD" w:rsidRDefault="00984FAD" w:rsidP="00A545CB">
      <w:pPr>
        <w:spacing w:after="120"/>
        <w:rPr>
          <w:rFonts w:cs="Calibri"/>
        </w:rPr>
      </w:pPr>
    </w:p>
    <w:p w:rsidR="00A545CB" w:rsidRPr="000073DA" w:rsidRDefault="00A545CB" w:rsidP="00A545CB">
      <w:pPr>
        <w:spacing w:before="120" w:after="120"/>
        <w:rPr>
          <w:rFonts w:cs="Calibri"/>
          <w:sz w:val="24"/>
          <w:szCs w:val="24"/>
        </w:rPr>
      </w:pPr>
      <w:r w:rsidRPr="000073DA">
        <w:rPr>
          <w:rFonts w:cs="Calibri"/>
          <w:b/>
          <w:sz w:val="24"/>
          <w:szCs w:val="24"/>
        </w:rPr>
        <w:t>Language Performance Ratings (</w:t>
      </w:r>
      <w:r w:rsidR="00762C36" w:rsidRPr="000073DA">
        <w:rPr>
          <w:rFonts w:cs="Calibri"/>
          <w:b/>
          <w:sz w:val="24"/>
          <w:szCs w:val="24"/>
        </w:rPr>
        <w:t>LPR</w:t>
      </w:r>
      <w:r w:rsidRPr="000073DA">
        <w:rPr>
          <w:rFonts w:cs="Calibri"/>
          <w:b/>
          <w:sz w:val="24"/>
          <w:szCs w:val="24"/>
        </w:rPr>
        <w:t>) - process and subsequent funding of students</w:t>
      </w:r>
    </w:p>
    <w:p w:rsidR="00A545CB" w:rsidRPr="00DA4655" w:rsidRDefault="00A545CB" w:rsidP="00984FAD">
      <w:pPr>
        <w:spacing w:before="120" w:after="0" w:line="240" w:lineRule="auto"/>
        <w:rPr>
          <w:rFonts w:cs="Calibri"/>
          <w:lang w:val="en-GB"/>
        </w:rPr>
      </w:pPr>
      <w:r w:rsidRPr="00DA4655">
        <w:rPr>
          <w:rFonts w:cs="Calibri"/>
        </w:rPr>
        <w:t xml:space="preserve">Language Performance Ratings are the means by which ACT teachers describe an EALD student’s English language proficiency against an average native English language speaker for age and year level.  Through the use of moderation tasks, and classroom teacher observations and on-going assessment, EALD students are placed on the rating scale according to </w:t>
      </w:r>
      <w:r w:rsidRPr="00DA4655">
        <w:rPr>
          <w:rFonts w:cs="Calibri"/>
          <w:lang w:val="en-GB"/>
        </w:rPr>
        <w:t xml:space="preserve">how well the student can perform language tasks in relation to the average English language performance for that age and year level.  </w:t>
      </w:r>
      <w:r w:rsidRPr="00DA4655">
        <w:rPr>
          <w:rFonts w:cs="Calibri"/>
        </w:rPr>
        <w:t xml:space="preserve">The English language performance is assessed on a scale of 0 to 5, where 4 equals an average native English speaker for age and year level. </w:t>
      </w:r>
    </w:p>
    <w:p w:rsidR="000073DA" w:rsidRDefault="000073DA" w:rsidP="00A545CB">
      <w:pPr>
        <w:spacing w:after="120"/>
        <w:rPr>
          <w:rFonts w:cs="Calibri"/>
          <w:b/>
        </w:rPr>
      </w:pPr>
    </w:p>
    <w:p w:rsidR="00A545CB" w:rsidRDefault="002A7D49" w:rsidP="00A545CB">
      <w:pPr>
        <w:spacing w:before="120" w:after="120"/>
        <w:rPr>
          <w:rFonts w:cs="Calibri"/>
          <w:b/>
        </w:rPr>
      </w:pPr>
      <w:r w:rsidRPr="002A7D49">
        <w:rPr>
          <w:rFonts w:cs="Calibri"/>
          <w:b/>
          <w:noProof/>
          <w:sz w:val="16"/>
          <w:szCs w:val="16"/>
          <w:lang w:eastAsia="en-AU"/>
        </w:rPr>
        <w:pict>
          <v:group id="_x0000_s1032" style="position:absolute;margin-left:111.6pt;margin-top:16.75pt;width:394.5pt;height:22.05pt;z-index:251657728" coordorigin="2982,13923" coordsize="7890,441">
            <v:shape id="_x0000_s1033" type="#_x0000_t202" style="position:absolute;left:2982;top:13923;width:420;height:411;mso-width-relative:margin;mso-height-relative:margin" filled="f" stroked="f">
              <v:textbox style="mso-next-textbox:#_x0000_s1033">
                <w:txbxContent>
                  <w:p w:rsidR="00C16B47" w:rsidRPr="00504B61" w:rsidRDefault="00C16B47" w:rsidP="00A545CB">
                    <w:pPr>
                      <w:rPr>
                        <w:b/>
                      </w:rPr>
                    </w:pPr>
                    <w:r w:rsidRPr="00504B61">
                      <w:rPr>
                        <w:b/>
                      </w:rPr>
                      <w:t>1</w:t>
                    </w:r>
                  </w:p>
                </w:txbxContent>
              </v:textbox>
            </v:shape>
            <v:shape id="_x0000_s1034" type="#_x0000_t202" style="position:absolute;left:4857;top:13938;width:420;height:411;mso-width-relative:margin;mso-height-relative:margin" filled="f" stroked="f">
              <v:textbox style="mso-next-textbox:#_x0000_s1034">
                <w:txbxContent>
                  <w:p w:rsidR="00C16B47" w:rsidRPr="00504B61" w:rsidRDefault="00C16B47" w:rsidP="00A545CB">
                    <w:pPr>
                      <w:rPr>
                        <w:b/>
                      </w:rPr>
                    </w:pPr>
                    <w:r>
                      <w:rPr>
                        <w:b/>
                      </w:rPr>
                      <w:t>2</w:t>
                    </w:r>
                  </w:p>
                </w:txbxContent>
              </v:textbox>
            </v:shape>
            <v:shape id="_x0000_s1035" type="#_x0000_t202" style="position:absolute;left:6720;top:13938;width:420;height:411;mso-width-relative:margin;mso-height-relative:margin" filled="f" stroked="f">
              <v:textbox style="mso-next-textbox:#_x0000_s1035">
                <w:txbxContent>
                  <w:p w:rsidR="00C16B47" w:rsidRPr="00504B61" w:rsidRDefault="00C16B47" w:rsidP="00A545CB">
                    <w:pPr>
                      <w:rPr>
                        <w:b/>
                      </w:rPr>
                    </w:pPr>
                    <w:r>
                      <w:rPr>
                        <w:b/>
                      </w:rPr>
                      <w:t>3</w:t>
                    </w:r>
                  </w:p>
                </w:txbxContent>
              </v:textbox>
            </v:shape>
            <v:shape id="_x0000_s1036" type="#_x0000_t202" style="position:absolute;left:8592;top:13938;width:420;height:411;mso-width-relative:margin;mso-height-relative:margin" filled="f" stroked="f">
              <v:textbox style="mso-next-textbox:#_x0000_s1036">
                <w:txbxContent>
                  <w:p w:rsidR="00C16B47" w:rsidRPr="00504B61" w:rsidRDefault="00C16B47" w:rsidP="00A545CB">
                    <w:pPr>
                      <w:rPr>
                        <w:b/>
                      </w:rPr>
                    </w:pPr>
                    <w:r>
                      <w:rPr>
                        <w:b/>
                      </w:rPr>
                      <w:t>4</w:t>
                    </w:r>
                  </w:p>
                </w:txbxContent>
              </v:textbox>
            </v:shape>
            <v:shape id="_x0000_s1037" type="#_x0000_t202" style="position:absolute;left:10452;top:13953;width:420;height:411;mso-width-relative:margin;mso-height-relative:margin" filled="f" stroked="f">
              <v:textbox style="mso-next-textbox:#_x0000_s1037">
                <w:txbxContent>
                  <w:p w:rsidR="00C16B47" w:rsidRPr="00504B61" w:rsidRDefault="00C16B47" w:rsidP="00A545CB">
                    <w:pPr>
                      <w:rPr>
                        <w:b/>
                      </w:rPr>
                    </w:pPr>
                    <w:r>
                      <w:rPr>
                        <w:b/>
                      </w:rPr>
                      <w:t>5</w:t>
                    </w:r>
                  </w:p>
                </w:txbxContent>
              </v:textbox>
            </v:shape>
          </v:group>
        </w:pict>
      </w:r>
      <w:r w:rsidR="00A545CB" w:rsidRPr="00DA4655">
        <w:rPr>
          <w:rFonts w:cs="Calibri"/>
          <w:b/>
        </w:rPr>
        <w:t>ACT Language Performance Rating Scale</w:t>
      </w:r>
    </w:p>
    <w:p w:rsidR="00A545CB" w:rsidRPr="00504B61" w:rsidRDefault="00A545CB" w:rsidP="00A545CB">
      <w:pPr>
        <w:spacing w:after="0"/>
        <w:rPr>
          <w:rFonts w:cs="Calibri"/>
          <w:sz w:val="16"/>
          <w:szCs w:val="16"/>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1871"/>
        <w:gridCol w:w="1871"/>
        <w:gridCol w:w="1871"/>
        <w:gridCol w:w="1871"/>
      </w:tblGrid>
      <w:tr w:rsidR="00A545CB" w:rsidRPr="00DA4655" w:rsidTr="00A545CB">
        <w:trPr>
          <w:trHeight w:val="20"/>
          <w:jc w:val="center"/>
        </w:trPr>
        <w:tc>
          <w:tcPr>
            <w:tcW w:w="1871" w:type="dxa"/>
          </w:tcPr>
          <w:p w:rsidR="00A545CB" w:rsidRPr="00DA4655" w:rsidRDefault="00A545CB" w:rsidP="00A545CB">
            <w:pPr>
              <w:spacing w:before="120" w:after="120"/>
              <w:jc w:val="right"/>
              <w:rPr>
                <w:b/>
                <w:sz w:val="18"/>
                <w:szCs w:val="18"/>
              </w:rPr>
            </w:pPr>
            <w:r w:rsidRPr="00DA4655">
              <w:rPr>
                <w:rFonts w:cs="Calibri"/>
                <w:b/>
                <w:bCs/>
                <w:sz w:val="18"/>
                <w:szCs w:val="18"/>
              </w:rPr>
              <w:t>Minimal</w:t>
            </w:r>
          </w:p>
        </w:tc>
        <w:tc>
          <w:tcPr>
            <w:tcW w:w="1871" w:type="dxa"/>
          </w:tcPr>
          <w:p w:rsidR="00A545CB" w:rsidRPr="00DA4655" w:rsidRDefault="00A545CB" w:rsidP="00A545CB">
            <w:pPr>
              <w:spacing w:before="120" w:after="120"/>
              <w:jc w:val="right"/>
              <w:rPr>
                <w:b/>
                <w:sz w:val="18"/>
                <w:szCs w:val="18"/>
              </w:rPr>
            </w:pPr>
            <w:r w:rsidRPr="00DA4655">
              <w:rPr>
                <w:b/>
                <w:sz w:val="18"/>
                <w:szCs w:val="18"/>
              </w:rPr>
              <w:t>Well Below</w:t>
            </w:r>
          </w:p>
        </w:tc>
        <w:tc>
          <w:tcPr>
            <w:tcW w:w="1871" w:type="dxa"/>
          </w:tcPr>
          <w:p w:rsidR="00A545CB" w:rsidRPr="00DA4655" w:rsidRDefault="00A545CB" w:rsidP="00A545CB">
            <w:pPr>
              <w:spacing w:before="120" w:after="120"/>
              <w:jc w:val="right"/>
              <w:rPr>
                <w:b/>
                <w:sz w:val="18"/>
                <w:szCs w:val="18"/>
              </w:rPr>
            </w:pPr>
            <w:r w:rsidRPr="00DA4655">
              <w:rPr>
                <w:b/>
                <w:sz w:val="18"/>
                <w:szCs w:val="18"/>
              </w:rPr>
              <w:t>Below</w:t>
            </w:r>
          </w:p>
        </w:tc>
        <w:tc>
          <w:tcPr>
            <w:tcW w:w="1871" w:type="dxa"/>
          </w:tcPr>
          <w:p w:rsidR="00A545CB" w:rsidRPr="00DA4655" w:rsidRDefault="00A545CB" w:rsidP="00A545CB">
            <w:pPr>
              <w:spacing w:before="120" w:after="120"/>
              <w:jc w:val="right"/>
              <w:rPr>
                <w:b/>
                <w:sz w:val="18"/>
                <w:szCs w:val="18"/>
              </w:rPr>
            </w:pPr>
            <w:r w:rsidRPr="00DA4655">
              <w:rPr>
                <w:b/>
                <w:sz w:val="18"/>
                <w:szCs w:val="18"/>
              </w:rPr>
              <w:t>Approaching Average</w:t>
            </w:r>
          </w:p>
        </w:tc>
        <w:tc>
          <w:tcPr>
            <w:tcW w:w="1871" w:type="dxa"/>
          </w:tcPr>
          <w:p w:rsidR="00A545CB" w:rsidRPr="00DA4655" w:rsidRDefault="00A545CB" w:rsidP="00A545CB">
            <w:pPr>
              <w:spacing w:before="120" w:after="120"/>
              <w:jc w:val="right"/>
              <w:rPr>
                <w:b/>
                <w:sz w:val="18"/>
                <w:szCs w:val="18"/>
              </w:rPr>
            </w:pPr>
            <w:r w:rsidRPr="00DA4655">
              <w:rPr>
                <w:b/>
                <w:sz w:val="18"/>
                <w:szCs w:val="18"/>
              </w:rPr>
              <w:t>Above</w:t>
            </w:r>
            <w:r>
              <w:rPr>
                <w:b/>
                <w:sz w:val="18"/>
                <w:szCs w:val="18"/>
              </w:rPr>
              <w:t xml:space="preserve"> Average</w:t>
            </w:r>
          </w:p>
        </w:tc>
      </w:tr>
    </w:tbl>
    <w:p w:rsidR="00A545CB" w:rsidRPr="00DA4655" w:rsidRDefault="00A545CB" w:rsidP="00A545CB">
      <w:pPr>
        <w:spacing w:before="120" w:after="120"/>
        <w:jc w:val="right"/>
        <w:rPr>
          <w:rFonts w:cs="Calibri"/>
        </w:rPr>
      </w:pPr>
      <w:r w:rsidRPr="00DA4655">
        <w:rPr>
          <w:rFonts w:cs="Calibri"/>
          <w:i/>
          <w:sz w:val="20"/>
          <w:szCs w:val="20"/>
        </w:rPr>
        <w:t>4 is equal to an average native English language speaker for age and year level</w:t>
      </w:r>
    </w:p>
    <w:p w:rsidR="000073DA" w:rsidRDefault="00A545CB" w:rsidP="000073DA">
      <w:pPr>
        <w:spacing w:before="120" w:after="120" w:line="240" w:lineRule="auto"/>
        <w:rPr>
          <w:b/>
          <w:szCs w:val="24"/>
        </w:rPr>
      </w:pPr>
      <w:r w:rsidRPr="00DA4655">
        <w:rPr>
          <w:rFonts w:cs="Calibri"/>
        </w:rPr>
        <w:t>To ensure students with the greatest need are targeted for support, the EALD staffing allocation is distributed across ACT public schools starting with individual students with the lowest Language Performance Ratings (LPR).</w:t>
      </w:r>
      <w:r w:rsidRPr="00DA4655">
        <w:rPr>
          <w:rFonts w:cs="Calibri"/>
        </w:rPr>
        <w:br/>
      </w:r>
    </w:p>
    <w:p w:rsidR="00A545CB" w:rsidRPr="00DA4655" w:rsidRDefault="00A545CB" w:rsidP="00A545CB">
      <w:pPr>
        <w:spacing w:before="120" w:after="120"/>
        <w:rPr>
          <w:rFonts w:cs="Calibri"/>
          <w:u w:val="single"/>
        </w:rPr>
      </w:pPr>
      <w:r w:rsidRPr="00DA4655">
        <w:rPr>
          <w:b/>
          <w:szCs w:val="24"/>
        </w:rPr>
        <w:t>LPR cut-offs 2010-12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9"/>
        <w:gridCol w:w="718"/>
        <w:gridCol w:w="718"/>
        <w:gridCol w:w="772"/>
      </w:tblGrid>
      <w:tr w:rsidR="00A545CB" w:rsidRPr="00DA4655" w:rsidTr="00A545CB">
        <w:trPr>
          <w:trHeight w:val="284"/>
        </w:trPr>
        <w:tc>
          <w:tcPr>
            <w:tcW w:w="0" w:type="auto"/>
          </w:tcPr>
          <w:p w:rsidR="00A545CB" w:rsidRPr="00DA4655" w:rsidRDefault="00A545CB" w:rsidP="00A545CB">
            <w:pPr>
              <w:spacing w:before="120" w:after="120"/>
              <w:rPr>
                <w:b/>
                <w:szCs w:val="24"/>
              </w:rPr>
            </w:pPr>
          </w:p>
        </w:tc>
        <w:tc>
          <w:tcPr>
            <w:tcW w:w="0" w:type="auto"/>
            <w:vAlign w:val="center"/>
          </w:tcPr>
          <w:p w:rsidR="00A545CB" w:rsidRPr="00DA4655" w:rsidRDefault="00A545CB" w:rsidP="00A545CB">
            <w:pPr>
              <w:spacing w:before="120" w:after="120"/>
              <w:rPr>
                <w:b/>
                <w:szCs w:val="24"/>
              </w:rPr>
            </w:pPr>
            <w:r w:rsidRPr="00DA4655">
              <w:rPr>
                <w:b/>
                <w:szCs w:val="24"/>
              </w:rPr>
              <w:t>2010</w:t>
            </w:r>
          </w:p>
        </w:tc>
        <w:tc>
          <w:tcPr>
            <w:tcW w:w="0" w:type="auto"/>
            <w:vAlign w:val="center"/>
          </w:tcPr>
          <w:p w:rsidR="00A545CB" w:rsidRPr="00DA4655" w:rsidRDefault="00A545CB" w:rsidP="00A545CB">
            <w:pPr>
              <w:spacing w:before="120" w:after="120"/>
              <w:rPr>
                <w:b/>
                <w:szCs w:val="24"/>
              </w:rPr>
            </w:pPr>
            <w:r w:rsidRPr="00DA4655">
              <w:rPr>
                <w:b/>
                <w:szCs w:val="24"/>
              </w:rPr>
              <w:t>2011</w:t>
            </w:r>
          </w:p>
        </w:tc>
        <w:tc>
          <w:tcPr>
            <w:tcW w:w="0" w:type="auto"/>
            <w:vAlign w:val="center"/>
          </w:tcPr>
          <w:p w:rsidR="00A545CB" w:rsidRPr="00DA4655" w:rsidRDefault="00A545CB" w:rsidP="00A545CB">
            <w:pPr>
              <w:spacing w:before="120" w:after="120"/>
              <w:rPr>
                <w:b/>
                <w:szCs w:val="24"/>
              </w:rPr>
            </w:pPr>
            <w:r w:rsidRPr="00DA4655">
              <w:rPr>
                <w:b/>
                <w:szCs w:val="24"/>
              </w:rPr>
              <w:t>2012*</w:t>
            </w:r>
          </w:p>
        </w:tc>
      </w:tr>
      <w:tr w:rsidR="00A545CB" w:rsidRPr="00DA4655" w:rsidTr="00A545CB">
        <w:trPr>
          <w:trHeight w:val="284"/>
        </w:trPr>
        <w:tc>
          <w:tcPr>
            <w:tcW w:w="0" w:type="auto"/>
          </w:tcPr>
          <w:p w:rsidR="00A545CB" w:rsidRPr="00DA4655" w:rsidRDefault="00A545CB" w:rsidP="00A545CB">
            <w:pPr>
              <w:spacing w:before="120" w:after="120"/>
              <w:rPr>
                <w:szCs w:val="24"/>
              </w:rPr>
            </w:pPr>
            <w:r w:rsidRPr="00DA4655">
              <w:rPr>
                <w:szCs w:val="24"/>
              </w:rPr>
              <w:t>ESL enrolments</w:t>
            </w:r>
          </w:p>
        </w:tc>
        <w:tc>
          <w:tcPr>
            <w:tcW w:w="0" w:type="auto"/>
            <w:vAlign w:val="center"/>
          </w:tcPr>
          <w:p w:rsidR="00A545CB" w:rsidRPr="00DA4655" w:rsidRDefault="00A545CB" w:rsidP="00A545CB">
            <w:pPr>
              <w:spacing w:before="120" w:after="120"/>
              <w:rPr>
                <w:szCs w:val="24"/>
              </w:rPr>
            </w:pPr>
            <w:r w:rsidRPr="00DA4655">
              <w:rPr>
                <w:szCs w:val="24"/>
              </w:rPr>
              <w:t>4158</w:t>
            </w:r>
          </w:p>
        </w:tc>
        <w:tc>
          <w:tcPr>
            <w:tcW w:w="0" w:type="auto"/>
            <w:vAlign w:val="center"/>
          </w:tcPr>
          <w:p w:rsidR="00A545CB" w:rsidRPr="00DA4655" w:rsidRDefault="00A545CB" w:rsidP="00A545CB">
            <w:pPr>
              <w:spacing w:before="120" w:after="120"/>
              <w:rPr>
                <w:szCs w:val="24"/>
              </w:rPr>
            </w:pPr>
            <w:r w:rsidRPr="00DA4655">
              <w:rPr>
                <w:szCs w:val="24"/>
              </w:rPr>
              <w:t>4382</w:t>
            </w:r>
          </w:p>
        </w:tc>
        <w:tc>
          <w:tcPr>
            <w:tcW w:w="0" w:type="auto"/>
            <w:vAlign w:val="center"/>
          </w:tcPr>
          <w:p w:rsidR="00A545CB" w:rsidRPr="00DA4655" w:rsidRDefault="00A545CB" w:rsidP="00A545CB">
            <w:pPr>
              <w:spacing w:before="120" w:after="120"/>
              <w:rPr>
                <w:szCs w:val="24"/>
              </w:rPr>
            </w:pPr>
            <w:r w:rsidRPr="00DA4655">
              <w:rPr>
                <w:szCs w:val="24"/>
              </w:rPr>
              <w:t>4834</w:t>
            </w:r>
          </w:p>
        </w:tc>
      </w:tr>
      <w:tr w:rsidR="00A545CB" w:rsidRPr="00DA4655" w:rsidTr="00A545CB">
        <w:trPr>
          <w:trHeight w:val="284"/>
        </w:trPr>
        <w:tc>
          <w:tcPr>
            <w:tcW w:w="0" w:type="auto"/>
          </w:tcPr>
          <w:p w:rsidR="00A545CB" w:rsidRPr="00DA4655" w:rsidRDefault="00A545CB" w:rsidP="00A545CB">
            <w:pPr>
              <w:spacing w:before="120" w:after="120"/>
              <w:rPr>
                <w:szCs w:val="24"/>
              </w:rPr>
            </w:pPr>
            <w:r w:rsidRPr="00DA4655">
              <w:rPr>
                <w:szCs w:val="24"/>
              </w:rPr>
              <w:t>% of Mainstream enrolments</w:t>
            </w:r>
          </w:p>
        </w:tc>
        <w:tc>
          <w:tcPr>
            <w:tcW w:w="0" w:type="auto"/>
            <w:vAlign w:val="center"/>
          </w:tcPr>
          <w:p w:rsidR="00A545CB" w:rsidRPr="00DA4655" w:rsidRDefault="00A545CB" w:rsidP="00A545CB">
            <w:pPr>
              <w:spacing w:before="120" w:after="120"/>
              <w:rPr>
                <w:szCs w:val="24"/>
              </w:rPr>
            </w:pPr>
            <w:r w:rsidRPr="00DA4655">
              <w:rPr>
                <w:szCs w:val="24"/>
              </w:rPr>
              <w:t>11.44</w:t>
            </w:r>
          </w:p>
        </w:tc>
        <w:tc>
          <w:tcPr>
            <w:tcW w:w="0" w:type="auto"/>
            <w:vAlign w:val="center"/>
          </w:tcPr>
          <w:p w:rsidR="00A545CB" w:rsidRPr="00DA4655" w:rsidRDefault="00A545CB" w:rsidP="00A545CB">
            <w:pPr>
              <w:spacing w:before="120" w:after="120"/>
              <w:rPr>
                <w:szCs w:val="24"/>
              </w:rPr>
            </w:pPr>
            <w:r w:rsidRPr="00DA4655">
              <w:rPr>
                <w:szCs w:val="24"/>
              </w:rPr>
              <w:t>11.99</w:t>
            </w:r>
          </w:p>
        </w:tc>
        <w:tc>
          <w:tcPr>
            <w:tcW w:w="0" w:type="auto"/>
            <w:vAlign w:val="center"/>
          </w:tcPr>
          <w:p w:rsidR="00A545CB" w:rsidRPr="00DA4655" w:rsidRDefault="00A545CB" w:rsidP="00A545CB">
            <w:pPr>
              <w:spacing w:before="120" w:after="120"/>
              <w:rPr>
                <w:szCs w:val="24"/>
              </w:rPr>
            </w:pPr>
            <w:r w:rsidRPr="00DA4655">
              <w:rPr>
                <w:szCs w:val="24"/>
              </w:rPr>
              <w:t>12.42</w:t>
            </w:r>
          </w:p>
        </w:tc>
      </w:tr>
      <w:tr w:rsidR="00A545CB" w:rsidRPr="00DA4655" w:rsidTr="00A545CB">
        <w:trPr>
          <w:trHeight w:val="284"/>
        </w:trPr>
        <w:tc>
          <w:tcPr>
            <w:tcW w:w="0" w:type="auto"/>
          </w:tcPr>
          <w:p w:rsidR="00A545CB" w:rsidRPr="00DA4655" w:rsidRDefault="00A545CB" w:rsidP="00A545CB">
            <w:pPr>
              <w:spacing w:before="120" w:after="120"/>
              <w:rPr>
                <w:szCs w:val="24"/>
              </w:rPr>
            </w:pPr>
            <w:r w:rsidRPr="00DA4655">
              <w:rPr>
                <w:szCs w:val="24"/>
              </w:rPr>
              <w:t>ESL eligible enrolments ( LPR&lt;4)</w:t>
            </w:r>
          </w:p>
        </w:tc>
        <w:tc>
          <w:tcPr>
            <w:tcW w:w="0" w:type="auto"/>
            <w:vAlign w:val="center"/>
          </w:tcPr>
          <w:p w:rsidR="00A545CB" w:rsidRPr="00DA4655" w:rsidRDefault="00A545CB" w:rsidP="00A545CB">
            <w:pPr>
              <w:spacing w:before="120" w:after="120"/>
              <w:rPr>
                <w:szCs w:val="24"/>
              </w:rPr>
            </w:pPr>
            <w:r w:rsidRPr="00DA4655">
              <w:rPr>
                <w:szCs w:val="24"/>
              </w:rPr>
              <w:t>3464</w:t>
            </w:r>
          </w:p>
        </w:tc>
        <w:tc>
          <w:tcPr>
            <w:tcW w:w="0" w:type="auto"/>
            <w:vAlign w:val="center"/>
          </w:tcPr>
          <w:p w:rsidR="00A545CB" w:rsidRPr="00DA4655" w:rsidRDefault="00A545CB" w:rsidP="00A545CB">
            <w:pPr>
              <w:spacing w:before="120" w:after="120"/>
              <w:rPr>
                <w:szCs w:val="24"/>
              </w:rPr>
            </w:pPr>
            <w:r w:rsidRPr="00DA4655">
              <w:rPr>
                <w:szCs w:val="24"/>
              </w:rPr>
              <w:t>3647</w:t>
            </w:r>
          </w:p>
        </w:tc>
        <w:tc>
          <w:tcPr>
            <w:tcW w:w="0" w:type="auto"/>
            <w:vAlign w:val="center"/>
          </w:tcPr>
          <w:p w:rsidR="00A545CB" w:rsidRPr="00DA4655" w:rsidRDefault="00A545CB" w:rsidP="00A545CB">
            <w:pPr>
              <w:spacing w:before="120" w:after="120"/>
              <w:rPr>
                <w:szCs w:val="24"/>
              </w:rPr>
            </w:pPr>
            <w:r w:rsidRPr="00DA4655">
              <w:rPr>
                <w:szCs w:val="24"/>
              </w:rPr>
              <w:t>3812</w:t>
            </w:r>
          </w:p>
        </w:tc>
      </w:tr>
      <w:tr w:rsidR="00A545CB" w:rsidRPr="00DA4655" w:rsidTr="00A545CB">
        <w:trPr>
          <w:trHeight w:val="284"/>
        </w:trPr>
        <w:tc>
          <w:tcPr>
            <w:tcW w:w="0" w:type="auto"/>
          </w:tcPr>
          <w:p w:rsidR="00A545CB" w:rsidRPr="00DA4655" w:rsidRDefault="00A545CB" w:rsidP="00A545CB">
            <w:pPr>
              <w:spacing w:before="120" w:after="120"/>
              <w:rPr>
                <w:szCs w:val="24"/>
              </w:rPr>
            </w:pPr>
          </w:p>
        </w:tc>
        <w:tc>
          <w:tcPr>
            <w:tcW w:w="0" w:type="auto"/>
            <w:vAlign w:val="center"/>
          </w:tcPr>
          <w:p w:rsidR="00A545CB" w:rsidRPr="00DA4655" w:rsidRDefault="00A545CB" w:rsidP="00A545CB">
            <w:pPr>
              <w:spacing w:before="120" w:after="120"/>
              <w:rPr>
                <w:szCs w:val="24"/>
              </w:rPr>
            </w:pPr>
          </w:p>
        </w:tc>
        <w:tc>
          <w:tcPr>
            <w:tcW w:w="0" w:type="auto"/>
            <w:vAlign w:val="center"/>
          </w:tcPr>
          <w:p w:rsidR="00A545CB" w:rsidRPr="00DA4655" w:rsidRDefault="00A545CB" w:rsidP="00A545CB">
            <w:pPr>
              <w:spacing w:before="120" w:after="120"/>
              <w:rPr>
                <w:szCs w:val="24"/>
              </w:rPr>
            </w:pPr>
          </w:p>
        </w:tc>
        <w:tc>
          <w:tcPr>
            <w:tcW w:w="0" w:type="auto"/>
            <w:vAlign w:val="center"/>
          </w:tcPr>
          <w:p w:rsidR="00A545CB" w:rsidRPr="00DA4655" w:rsidRDefault="00A545CB" w:rsidP="00A545CB">
            <w:pPr>
              <w:spacing w:before="120" w:after="120"/>
              <w:rPr>
                <w:szCs w:val="24"/>
              </w:rPr>
            </w:pPr>
          </w:p>
        </w:tc>
      </w:tr>
      <w:tr w:rsidR="00A545CB" w:rsidRPr="00DA4655" w:rsidTr="00A545CB">
        <w:trPr>
          <w:trHeight w:val="284"/>
        </w:trPr>
        <w:tc>
          <w:tcPr>
            <w:tcW w:w="0" w:type="auto"/>
          </w:tcPr>
          <w:p w:rsidR="00A545CB" w:rsidRPr="00DA4655" w:rsidRDefault="00A545CB" w:rsidP="00A545CB">
            <w:pPr>
              <w:spacing w:before="120" w:after="120"/>
              <w:rPr>
                <w:szCs w:val="24"/>
              </w:rPr>
            </w:pPr>
            <w:r w:rsidRPr="00DA4655">
              <w:rPr>
                <w:szCs w:val="24"/>
              </w:rPr>
              <w:t>LPR (fully funded students)</w:t>
            </w:r>
          </w:p>
        </w:tc>
        <w:tc>
          <w:tcPr>
            <w:tcW w:w="0" w:type="auto"/>
            <w:vAlign w:val="center"/>
          </w:tcPr>
          <w:p w:rsidR="00A545CB" w:rsidRPr="00DA4655" w:rsidRDefault="00A545CB" w:rsidP="00A545CB">
            <w:pPr>
              <w:spacing w:before="120" w:after="120"/>
              <w:rPr>
                <w:szCs w:val="24"/>
              </w:rPr>
            </w:pPr>
            <w:r w:rsidRPr="00DA4655">
              <w:rPr>
                <w:szCs w:val="24"/>
              </w:rPr>
              <w:t>1.5</w:t>
            </w:r>
          </w:p>
        </w:tc>
        <w:tc>
          <w:tcPr>
            <w:tcW w:w="0" w:type="auto"/>
            <w:vAlign w:val="center"/>
          </w:tcPr>
          <w:p w:rsidR="00A545CB" w:rsidRPr="00DA4655" w:rsidRDefault="00A545CB" w:rsidP="00A545CB">
            <w:pPr>
              <w:spacing w:before="120" w:after="120"/>
              <w:rPr>
                <w:szCs w:val="24"/>
              </w:rPr>
            </w:pPr>
            <w:r w:rsidRPr="00DA4655">
              <w:rPr>
                <w:szCs w:val="24"/>
              </w:rPr>
              <w:t>1.75</w:t>
            </w:r>
          </w:p>
        </w:tc>
        <w:tc>
          <w:tcPr>
            <w:tcW w:w="0" w:type="auto"/>
            <w:vAlign w:val="center"/>
          </w:tcPr>
          <w:p w:rsidR="00A545CB" w:rsidRPr="00DA4655" w:rsidRDefault="00A545CB" w:rsidP="00A545CB">
            <w:pPr>
              <w:spacing w:before="120" w:after="120"/>
              <w:rPr>
                <w:szCs w:val="24"/>
              </w:rPr>
            </w:pPr>
            <w:r w:rsidRPr="00DA4655">
              <w:rPr>
                <w:szCs w:val="24"/>
              </w:rPr>
              <w:t>2.25</w:t>
            </w:r>
          </w:p>
        </w:tc>
      </w:tr>
      <w:tr w:rsidR="00A545CB" w:rsidRPr="00DA4655" w:rsidTr="00A545CB">
        <w:trPr>
          <w:trHeight w:val="284"/>
        </w:trPr>
        <w:tc>
          <w:tcPr>
            <w:tcW w:w="0" w:type="auto"/>
          </w:tcPr>
          <w:p w:rsidR="00A545CB" w:rsidRPr="00DA4655" w:rsidRDefault="00A545CB" w:rsidP="00A545CB">
            <w:pPr>
              <w:spacing w:before="120" w:after="120"/>
              <w:rPr>
                <w:szCs w:val="24"/>
              </w:rPr>
            </w:pPr>
            <w:r w:rsidRPr="00DA4655">
              <w:rPr>
                <w:szCs w:val="24"/>
              </w:rPr>
              <w:t>Fully Funded student numbers</w:t>
            </w:r>
          </w:p>
        </w:tc>
        <w:tc>
          <w:tcPr>
            <w:tcW w:w="0" w:type="auto"/>
            <w:vAlign w:val="center"/>
          </w:tcPr>
          <w:p w:rsidR="00A545CB" w:rsidRPr="00DA4655" w:rsidRDefault="00A545CB" w:rsidP="00A545CB">
            <w:pPr>
              <w:spacing w:before="120" w:after="120"/>
              <w:rPr>
                <w:szCs w:val="24"/>
              </w:rPr>
            </w:pPr>
            <w:r w:rsidRPr="00DA4655">
              <w:rPr>
                <w:szCs w:val="24"/>
              </w:rPr>
              <w:t>1357</w:t>
            </w:r>
          </w:p>
        </w:tc>
        <w:tc>
          <w:tcPr>
            <w:tcW w:w="0" w:type="auto"/>
            <w:vAlign w:val="center"/>
          </w:tcPr>
          <w:p w:rsidR="00A545CB" w:rsidRPr="00DA4655" w:rsidRDefault="00A545CB" w:rsidP="00A545CB">
            <w:pPr>
              <w:spacing w:before="120" w:after="120"/>
              <w:rPr>
                <w:szCs w:val="24"/>
              </w:rPr>
            </w:pPr>
            <w:r w:rsidRPr="00DA4655">
              <w:rPr>
                <w:szCs w:val="24"/>
              </w:rPr>
              <w:t>1695</w:t>
            </w:r>
          </w:p>
        </w:tc>
        <w:tc>
          <w:tcPr>
            <w:tcW w:w="0" w:type="auto"/>
            <w:vAlign w:val="center"/>
          </w:tcPr>
          <w:p w:rsidR="00A545CB" w:rsidRPr="00DA4655" w:rsidRDefault="00A545CB" w:rsidP="00A545CB">
            <w:pPr>
              <w:spacing w:before="120" w:after="120"/>
              <w:rPr>
                <w:szCs w:val="24"/>
              </w:rPr>
            </w:pPr>
            <w:r w:rsidRPr="00DA4655">
              <w:rPr>
                <w:szCs w:val="24"/>
              </w:rPr>
              <w:t>2023</w:t>
            </w:r>
          </w:p>
        </w:tc>
      </w:tr>
      <w:tr w:rsidR="00A545CB" w:rsidRPr="00DA4655" w:rsidTr="00A545CB">
        <w:trPr>
          <w:trHeight w:val="284"/>
        </w:trPr>
        <w:tc>
          <w:tcPr>
            <w:tcW w:w="0" w:type="auto"/>
          </w:tcPr>
          <w:p w:rsidR="00A545CB" w:rsidRPr="00DA4655" w:rsidRDefault="00A545CB" w:rsidP="00A545CB">
            <w:pPr>
              <w:spacing w:before="120" w:after="120"/>
              <w:rPr>
                <w:szCs w:val="24"/>
              </w:rPr>
            </w:pPr>
            <w:r w:rsidRPr="00DA4655">
              <w:rPr>
                <w:szCs w:val="24"/>
              </w:rPr>
              <w:t>Partially Funded student numbers</w:t>
            </w:r>
          </w:p>
        </w:tc>
        <w:tc>
          <w:tcPr>
            <w:tcW w:w="0" w:type="auto"/>
            <w:vAlign w:val="center"/>
          </w:tcPr>
          <w:p w:rsidR="00A545CB" w:rsidRPr="00DA4655" w:rsidRDefault="00A545CB" w:rsidP="00A545CB">
            <w:pPr>
              <w:spacing w:before="120" w:after="120"/>
              <w:rPr>
                <w:szCs w:val="24"/>
              </w:rPr>
            </w:pPr>
            <w:r w:rsidRPr="00DA4655">
              <w:rPr>
                <w:szCs w:val="24"/>
              </w:rPr>
              <w:t>378</w:t>
            </w:r>
          </w:p>
        </w:tc>
        <w:tc>
          <w:tcPr>
            <w:tcW w:w="0" w:type="auto"/>
            <w:vAlign w:val="center"/>
          </w:tcPr>
          <w:p w:rsidR="00A545CB" w:rsidRPr="00DA4655" w:rsidRDefault="00A545CB" w:rsidP="00A545CB">
            <w:pPr>
              <w:spacing w:before="120" w:after="120"/>
              <w:rPr>
                <w:szCs w:val="24"/>
              </w:rPr>
            </w:pPr>
            <w:r w:rsidRPr="00DA4655">
              <w:rPr>
                <w:szCs w:val="24"/>
              </w:rPr>
              <w:t>315</w:t>
            </w:r>
          </w:p>
        </w:tc>
        <w:tc>
          <w:tcPr>
            <w:tcW w:w="0" w:type="auto"/>
            <w:vAlign w:val="center"/>
          </w:tcPr>
          <w:p w:rsidR="00A545CB" w:rsidRPr="00DA4655" w:rsidRDefault="00A545CB" w:rsidP="00A545CB">
            <w:pPr>
              <w:spacing w:before="120" w:after="120"/>
              <w:rPr>
                <w:szCs w:val="24"/>
              </w:rPr>
            </w:pPr>
            <w:r w:rsidRPr="00DA4655">
              <w:rPr>
                <w:szCs w:val="24"/>
              </w:rPr>
              <w:t>272</w:t>
            </w:r>
          </w:p>
        </w:tc>
      </w:tr>
      <w:tr w:rsidR="00A545CB" w:rsidRPr="00DA4655" w:rsidTr="00A545CB">
        <w:trPr>
          <w:trHeight w:val="284"/>
        </w:trPr>
        <w:tc>
          <w:tcPr>
            <w:tcW w:w="0" w:type="auto"/>
          </w:tcPr>
          <w:p w:rsidR="00A545CB" w:rsidRPr="00DA4655" w:rsidRDefault="00A545CB" w:rsidP="00A545CB">
            <w:pPr>
              <w:spacing w:before="120" w:after="120"/>
              <w:rPr>
                <w:szCs w:val="24"/>
              </w:rPr>
            </w:pPr>
            <w:r w:rsidRPr="00DA4655">
              <w:rPr>
                <w:szCs w:val="24"/>
              </w:rPr>
              <w:t xml:space="preserve">Total Funded students </w:t>
            </w:r>
          </w:p>
        </w:tc>
        <w:tc>
          <w:tcPr>
            <w:tcW w:w="0" w:type="auto"/>
            <w:vAlign w:val="center"/>
          </w:tcPr>
          <w:p w:rsidR="00A545CB" w:rsidRPr="00DA4655" w:rsidRDefault="00A545CB" w:rsidP="00A545CB">
            <w:pPr>
              <w:spacing w:before="120" w:after="120"/>
              <w:rPr>
                <w:szCs w:val="24"/>
              </w:rPr>
            </w:pPr>
            <w:r w:rsidRPr="00DA4655">
              <w:rPr>
                <w:szCs w:val="24"/>
              </w:rPr>
              <w:t>1735</w:t>
            </w:r>
          </w:p>
        </w:tc>
        <w:tc>
          <w:tcPr>
            <w:tcW w:w="0" w:type="auto"/>
            <w:vAlign w:val="center"/>
          </w:tcPr>
          <w:p w:rsidR="00A545CB" w:rsidRPr="00DA4655" w:rsidRDefault="00A545CB" w:rsidP="00A545CB">
            <w:pPr>
              <w:spacing w:before="120" w:after="120"/>
              <w:rPr>
                <w:szCs w:val="24"/>
              </w:rPr>
            </w:pPr>
            <w:r w:rsidRPr="00DA4655">
              <w:rPr>
                <w:szCs w:val="24"/>
              </w:rPr>
              <w:t>2010</w:t>
            </w:r>
          </w:p>
        </w:tc>
        <w:tc>
          <w:tcPr>
            <w:tcW w:w="0" w:type="auto"/>
            <w:vAlign w:val="center"/>
          </w:tcPr>
          <w:p w:rsidR="00A545CB" w:rsidRPr="00DA4655" w:rsidRDefault="00A545CB" w:rsidP="00A545CB">
            <w:pPr>
              <w:spacing w:before="120" w:after="120"/>
              <w:rPr>
                <w:szCs w:val="24"/>
              </w:rPr>
            </w:pPr>
            <w:r w:rsidRPr="00DA4655">
              <w:rPr>
                <w:szCs w:val="24"/>
              </w:rPr>
              <w:t>2295</w:t>
            </w:r>
          </w:p>
        </w:tc>
      </w:tr>
      <w:tr w:rsidR="00A545CB" w:rsidRPr="00DA4655" w:rsidTr="00A545CB">
        <w:trPr>
          <w:trHeight w:val="284"/>
        </w:trPr>
        <w:tc>
          <w:tcPr>
            <w:tcW w:w="0" w:type="auto"/>
          </w:tcPr>
          <w:p w:rsidR="00A545CB" w:rsidRPr="00DA4655" w:rsidRDefault="00A545CB" w:rsidP="00A545CB">
            <w:pPr>
              <w:spacing w:before="120" w:after="120"/>
              <w:rPr>
                <w:szCs w:val="24"/>
              </w:rPr>
            </w:pPr>
            <w:r w:rsidRPr="00DA4655">
              <w:rPr>
                <w:szCs w:val="24"/>
              </w:rPr>
              <w:t>% of  ESL eligible enrolments</w:t>
            </w:r>
          </w:p>
        </w:tc>
        <w:tc>
          <w:tcPr>
            <w:tcW w:w="0" w:type="auto"/>
            <w:vAlign w:val="center"/>
          </w:tcPr>
          <w:p w:rsidR="00A545CB" w:rsidRPr="00DA4655" w:rsidRDefault="00A545CB" w:rsidP="00A545CB">
            <w:pPr>
              <w:spacing w:before="120" w:after="120"/>
              <w:rPr>
                <w:szCs w:val="24"/>
              </w:rPr>
            </w:pPr>
            <w:r w:rsidRPr="00DA4655">
              <w:rPr>
                <w:szCs w:val="24"/>
              </w:rPr>
              <w:t>50.09</w:t>
            </w:r>
          </w:p>
        </w:tc>
        <w:tc>
          <w:tcPr>
            <w:tcW w:w="0" w:type="auto"/>
            <w:vAlign w:val="center"/>
          </w:tcPr>
          <w:p w:rsidR="00A545CB" w:rsidRPr="00DA4655" w:rsidRDefault="00A545CB" w:rsidP="00A545CB">
            <w:pPr>
              <w:spacing w:before="120" w:after="120"/>
              <w:rPr>
                <w:szCs w:val="24"/>
              </w:rPr>
            </w:pPr>
            <w:r w:rsidRPr="00DA4655">
              <w:rPr>
                <w:szCs w:val="24"/>
              </w:rPr>
              <w:t>55.11</w:t>
            </w:r>
          </w:p>
        </w:tc>
        <w:tc>
          <w:tcPr>
            <w:tcW w:w="0" w:type="auto"/>
            <w:vAlign w:val="center"/>
          </w:tcPr>
          <w:p w:rsidR="00A545CB" w:rsidRPr="00DA4655" w:rsidRDefault="00A545CB" w:rsidP="00A545CB">
            <w:pPr>
              <w:spacing w:before="120" w:after="120"/>
              <w:rPr>
                <w:szCs w:val="24"/>
              </w:rPr>
            </w:pPr>
            <w:r w:rsidRPr="00DA4655">
              <w:rPr>
                <w:szCs w:val="24"/>
              </w:rPr>
              <w:t>60.2</w:t>
            </w:r>
          </w:p>
        </w:tc>
      </w:tr>
    </w:tbl>
    <w:p w:rsidR="003201A2" w:rsidRDefault="00A545CB" w:rsidP="00A545CB">
      <w:pPr>
        <w:spacing w:before="120" w:after="120"/>
        <w:rPr>
          <w:i/>
          <w:sz w:val="20"/>
          <w:szCs w:val="20"/>
        </w:rPr>
      </w:pPr>
      <w:r w:rsidRPr="00860A25">
        <w:rPr>
          <w:i/>
          <w:sz w:val="20"/>
          <w:szCs w:val="20"/>
        </w:rPr>
        <w:t>*Projections from August 2011 Census</w:t>
      </w:r>
    </w:p>
    <w:p w:rsidR="00A545CB" w:rsidRPr="00DA4655" w:rsidRDefault="00067393" w:rsidP="00A545CB">
      <w:pPr>
        <w:spacing w:before="120" w:after="120"/>
        <w:rPr>
          <w:rFonts w:cs="Calibri"/>
        </w:rPr>
      </w:pPr>
      <w:r>
        <w:rPr>
          <w:b/>
          <w:szCs w:val="24"/>
        </w:rPr>
        <w:br/>
      </w:r>
      <w:r w:rsidR="00A545CB" w:rsidRPr="00DA4655">
        <w:rPr>
          <w:b/>
          <w:szCs w:val="24"/>
        </w:rPr>
        <w:t>EALD in Other Jurisdictions</w:t>
      </w:r>
      <w:r w:rsidR="00A545CB" w:rsidRPr="00DA4655">
        <w:rPr>
          <w:b/>
          <w:szCs w:val="24"/>
        </w:rPr>
        <w:br/>
      </w:r>
      <w:r w:rsidR="00A545CB" w:rsidRPr="00DA4655">
        <w:rPr>
          <w:rFonts w:cs="Calibri"/>
        </w:rPr>
        <w:t>Methods of identification, assessment and funding processes vary across all jurisdictions. This is an issue that has been identified by ACARA</w:t>
      </w:r>
      <w:r w:rsidR="00A545CB" w:rsidRPr="00DA4655">
        <w:rPr>
          <w:rStyle w:val="FootnoteReference"/>
        </w:rPr>
        <w:footnoteReference w:id="10"/>
      </w:r>
      <w:r w:rsidR="00A545CB" w:rsidRPr="00DA4655">
        <w:rPr>
          <w:rFonts w:cs="Calibri"/>
        </w:rPr>
        <w:t xml:space="preserve"> and AEEYSOC</w:t>
      </w:r>
      <w:r w:rsidR="00A545CB" w:rsidRPr="00DA4655">
        <w:rPr>
          <w:rStyle w:val="FootnoteReference"/>
        </w:rPr>
        <w:footnoteReference w:id="11"/>
      </w:r>
      <w:r w:rsidR="00A545CB" w:rsidRPr="00DA4655">
        <w:rPr>
          <w:rFonts w:cs="Calibri"/>
        </w:rPr>
        <w:t xml:space="preserve"> and most jurisdictions are currently reviewing their approaches.</w:t>
      </w:r>
    </w:p>
    <w:p w:rsidR="00A545CB" w:rsidRPr="00DA4655" w:rsidRDefault="00A545CB" w:rsidP="00A545CB">
      <w:pPr>
        <w:spacing w:before="120" w:after="120"/>
        <w:rPr>
          <w:rFonts w:cs="Calibri"/>
        </w:rPr>
      </w:pPr>
      <w:r w:rsidRPr="00DA4655">
        <w:rPr>
          <w:rFonts w:cs="Calibri"/>
        </w:rPr>
        <w:t>NSW have Secondary IECs and establish the primary equivalent in individual schools with high numbers of students with minimal English language proficiency. ESL Scales are used in South Australia with students assessed and provided with a category which is linked to funding.  They use an internal moderation process and externally moderate 40 randomly selected schools a year.    ESL Index funding is allocated to mainstream schools in Victoria through the Student Resource Package (SRP). Funding is based on data collected from the Language Background Other Than English Census collected from all government schools in August each year.  A weighted formula, that reflects both the length of time in an Australian school and the stage of schooling, is then applied to the students identified. Schools are required to meet a funding threshold before receiving ESL Index funding.</w:t>
      </w:r>
    </w:p>
    <w:p w:rsidR="0030553F" w:rsidRDefault="00A545CB" w:rsidP="00A545CB">
      <w:pPr>
        <w:spacing w:before="120" w:after="120"/>
        <w:rPr>
          <w:b/>
          <w:szCs w:val="24"/>
        </w:rPr>
      </w:pPr>
      <w:r w:rsidRPr="00DA4655">
        <w:rPr>
          <w:rFonts w:cs="Calibri"/>
        </w:rPr>
        <w:t>Northern Territory and Western Australia have high levels of Aboriginal and Torres Strait Islander students with limited English language and therefore have different issues and approaches. There are no IEC programs in Tasmania. The similarities across jurisdictions relate to the need to identifying stages of English language acquisition but no method or document is used by more than one jurisdiction.</w:t>
      </w:r>
      <w:r w:rsidRPr="00A545CB">
        <w:rPr>
          <w:b/>
          <w:szCs w:val="24"/>
        </w:rPr>
        <w:t xml:space="preserve"> </w:t>
      </w:r>
    </w:p>
    <w:p w:rsidR="00A545CB" w:rsidRPr="0030553F" w:rsidRDefault="003201A2" w:rsidP="00A545CB">
      <w:pPr>
        <w:spacing w:before="120" w:after="120"/>
        <w:rPr>
          <w:b/>
          <w:szCs w:val="24"/>
        </w:rPr>
      </w:pPr>
      <w:r w:rsidRPr="000073DA">
        <w:rPr>
          <w:b/>
          <w:sz w:val="24"/>
          <w:szCs w:val="24"/>
        </w:rPr>
        <w:t>Professional Development and Directorate Support Services available to teachers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3"/>
        <w:gridCol w:w="4847"/>
      </w:tblGrid>
      <w:tr w:rsidR="00A545CB" w:rsidRPr="00DA4655" w:rsidTr="00F53002">
        <w:trPr>
          <w:trHeight w:val="557"/>
          <w:tblHeader/>
          <w:jc w:val="center"/>
        </w:trPr>
        <w:tc>
          <w:tcPr>
            <w:tcW w:w="4844" w:type="dxa"/>
            <w:shd w:val="clear" w:color="auto" w:fill="FFFFFF"/>
          </w:tcPr>
          <w:p w:rsidR="00A545CB" w:rsidRPr="000073DA" w:rsidRDefault="00A545CB" w:rsidP="00196E82">
            <w:pPr>
              <w:spacing w:before="120" w:after="120"/>
              <w:rPr>
                <w:b/>
              </w:rPr>
            </w:pPr>
            <w:r w:rsidRPr="00DA4655">
              <w:rPr>
                <w:b/>
              </w:rPr>
              <w:t>Mainstream Teachers</w:t>
            </w:r>
          </w:p>
        </w:tc>
        <w:tc>
          <w:tcPr>
            <w:tcW w:w="4847" w:type="dxa"/>
            <w:shd w:val="clear" w:color="auto" w:fill="FFFFFF"/>
          </w:tcPr>
          <w:p w:rsidR="00A545CB" w:rsidRPr="00DA4655" w:rsidRDefault="00A545CB" w:rsidP="00196E82">
            <w:pPr>
              <w:spacing w:before="120" w:after="120"/>
              <w:rPr>
                <w:b/>
              </w:rPr>
            </w:pPr>
            <w:r w:rsidRPr="00DA4655">
              <w:rPr>
                <w:b/>
              </w:rPr>
              <w:t>EALD Teachers (School and IEC)</w:t>
            </w:r>
          </w:p>
        </w:tc>
      </w:tr>
      <w:tr w:rsidR="00A545CB" w:rsidRPr="00DA4655" w:rsidTr="00196E82">
        <w:trPr>
          <w:jc w:val="center"/>
        </w:trPr>
        <w:tc>
          <w:tcPr>
            <w:tcW w:w="4844" w:type="dxa"/>
            <w:shd w:val="clear" w:color="auto" w:fill="FFFFFF"/>
          </w:tcPr>
          <w:p w:rsidR="00A545CB" w:rsidRPr="00DA4655" w:rsidRDefault="00A545CB" w:rsidP="00196E82">
            <w:pPr>
              <w:spacing w:before="120" w:after="120"/>
            </w:pPr>
            <w:r w:rsidRPr="00DA4655">
              <w:t>Literacy and Numeracy Section support through EALD Executive Officer, Manager and Assistant Manager in 2012</w:t>
            </w:r>
          </w:p>
          <w:p w:rsidR="00A545CB" w:rsidRPr="00DA4655" w:rsidRDefault="00A545CB" w:rsidP="00196E82">
            <w:pPr>
              <w:spacing w:before="120" w:after="120"/>
            </w:pPr>
            <w:r w:rsidRPr="00DA4655">
              <w:t>Support through the overarching Literacy and Numeracy Strategy</w:t>
            </w:r>
          </w:p>
          <w:p w:rsidR="00F53002" w:rsidRPr="00DA4655" w:rsidRDefault="00F53002" w:rsidP="00F53002">
            <w:pPr>
              <w:spacing w:before="120" w:after="120"/>
            </w:pPr>
            <w:r w:rsidRPr="00DA4655">
              <w:t>Support from Literacy and Numeracy Coordinators and Field Officers who have received higher level professional learning and awareness raising around specific EALD student needs</w:t>
            </w:r>
          </w:p>
          <w:p w:rsidR="00A545CB" w:rsidRPr="00DA4655" w:rsidRDefault="00A545CB" w:rsidP="00196E82">
            <w:pPr>
              <w:spacing w:before="120" w:after="120"/>
            </w:pPr>
            <w:r w:rsidRPr="00DA4655">
              <w:t>EALD Procedural Manual</w:t>
            </w:r>
          </w:p>
          <w:p w:rsidR="00A545CB" w:rsidRPr="00DA4655" w:rsidRDefault="00A545CB" w:rsidP="00196E82">
            <w:pPr>
              <w:spacing w:before="120" w:after="120"/>
            </w:pPr>
            <w:r w:rsidRPr="00DA4655">
              <w:t>Professional Learning in the Quality Teaching model</w:t>
            </w:r>
          </w:p>
          <w:p w:rsidR="00A545CB" w:rsidRPr="00DA4655" w:rsidRDefault="00A545CB" w:rsidP="00196E82">
            <w:pPr>
              <w:spacing w:before="120" w:after="120"/>
            </w:pPr>
            <w:r w:rsidRPr="00DA4655">
              <w:t>Incorporating Strategies for an Inclusive Curriculum (</w:t>
            </w:r>
            <w:proofErr w:type="spellStart"/>
            <w:r w:rsidRPr="00DA4655">
              <w:t>InSinc</w:t>
            </w:r>
            <w:proofErr w:type="spellEnd"/>
            <w:r w:rsidRPr="00DA4655">
              <w:t>). A system developed and endorsed professional learning resource with separate primary, high school and college versions</w:t>
            </w:r>
          </w:p>
          <w:p w:rsidR="00A545CB" w:rsidRPr="00DA4655" w:rsidRDefault="00A545CB" w:rsidP="00196E82">
            <w:pPr>
              <w:spacing w:before="120" w:after="120"/>
            </w:pPr>
            <w:r w:rsidRPr="00DA4655">
              <w:t>Professional Learning in First Steps  - Reading, Writing, Speaking and Listening</w:t>
            </w:r>
          </w:p>
          <w:p w:rsidR="00A545CB" w:rsidRPr="00DA4655" w:rsidRDefault="00A545CB" w:rsidP="00196E82">
            <w:pPr>
              <w:spacing w:before="120" w:after="120"/>
            </w:pPr>
            <w:r w:rsidRPr="00DA4655">
              <w:t xml:space="preserve">Professional Learning in Tactical Teaching -  Reading , Speaking and Listening </w:t>
            </w:r>
          </w:p>
          <w:p w:rsidR="00A545CB" w:rsidRPr="00DA4655" w:rsidRDefault="00A545CB" w:rsidP="00196E82">
            <w:pPr>
              <w:spacing w:before="120" w:after="120"/>
            </w:pPr>
            <w:r w:rsidRPr="00DA4655">
              <w:t>TESMC (Teaching ESL Students in Mainstream Classrooms) training provided by trained facilitators from ETD</w:t>
            </w:r>
          </w:p>
          <w:p w:rsidR="00A545CB" w:rsidRPr="00DA4655" w:rsidRDefault="00A545CB" w:rsidP="00196E82">
            <w:pPr>
              <w:spacing w:before="120" w:after="120"/>
            </w:pPr>
            <w:r w:rsidRPr="00DA4655">
              <w:t>ESLMEL (ESL in the Mainstream for the Early Learner) training provided by trained facilitators from ETD</w:t>
            </w:r>
          </w:p>
          <w:p w:rsidR="00A545CB" w:rsidRPr="00DA4655" w:rsidRDefault="00A545CB" w:rsidP="00196E82">
            <w:pPr>
              <w:spacing w:before="120" w:after="120"/>
            </w:pPr>
            <w:r w:rsidRPr="00DA4655">
              <w:t>ACARA – EALD resources</w:t>
            </w:r>
          </w:p>
        </w:tc>
        <w:tc>
          <w:tcPr>
            <w:tcW w:w="4847" w:type="dxa"/>
            <w:shd w:val="clear" w:color="auto" w:fill="FFFFFF"/>
          </w:tcPr>
          <w:p w:rsidR="00A545CB" w:rsidRPr="00DA4655" w:rsidRDefault="00A545CB" w:rsidP="00196E82">
            <w:pPr>
              <w:spacing w:before="120" w:after="120"/>
            </w:pPr>
            <w:r w:rsidRPr="00DA4655">
              <w:t>Literacy and Numeracy Section support through EALD Executive Officer, Manager and Assistant Manager in 2012</w:t>
            </w:r>
          </w:p>
          <w:p w:rsidR="00A545CB" w:rsidRPr="00DA4655" w:rsidRDefault="00A545CB" w:rsidP="00196E82">
            <w:pPr>
              <w:spacing w:before="120" w:after="120"/>
            </w:pPr>
            <w:r w:rsidRPr="00DA4655">
              <w:t>Support through the overarching Literacy and Numeracy Strategy</w:t>
            </w:r>
          </w:p>
          <w:p w:rsidR="00A545CB" w:rsidRPr="00DA4655" w:rsidRDefault="00A545CB" w:rsidP="00196E82">
            <w:pPr>
              <w:spacing w:before="120" w:after="120"/>
            </w:pPr>
            <w:r w:rsidRPr="00DA4655">
              <w:t>ESL Census  -  including Procedural Manual, Maze Training and phone support</w:t>
            </w:r>
          </w:p>
          <w:p w:rsidR="00A545CB" w:rsidRPr="00DA4655" w:rsidRDefault="00A545CB" w:rsidP="00196E82">
            <w:pPr>
              <w:spacing w:before="120" w:after="120"/>
            </w:pPr>
            <w:r w:rsidRPr="00DA4655">
              <w:t>New EALD teacher induction day conducted by ETD staff</w:t>
            </w:r>
          </w:p>
          <w:p w:rsidR="00A545CB" w:rsidRPr="00DA4655" w:rsidRDefault="00A545CB" w:rsidP="00196E82">
            <w:pPr>
              <w:spacing w:before="120" w:after="120"/>
            </w:pPr>
            <w:r w:rsidRPr="00DA4655">
              <w:t>Professional Learning  through EALD teacher forums</w:t>
            </w:r>
          </w:p>
          <w:p w:rsidR="00A545CB" w:rsidRPr="00DA4655" w:rsidRDefault="00A545CB" w:rsidP="00196E82">
            <w:pPr>
              <w:spacing w:before="120" w:after="120"/>
            </w:pPr>
            <w:r w:rsidRPr="00DA4655">
              <w:t>Professional Learning in ‘Time for Talk’</w:t>
            </w:r>
          </w:p>
          <w:p w:rsidR="00A545CB" w:rsidRPr="00DA4655" w:rsidRDefault="00A545CB" w:rsidP="00196E82">
            <w:pPr>
              <w:spacing w:before="120" w:after="120"/>
            </w:pPr>
            <w:r w:rsidRPr="00DA4655">
              <w:t>Professional Learning in the Quality Teaching model</w:t>
            </w:r>
          </w:p>
          <w:p w:rsidR="00A545CB" w:rsidRPr="00DA4655" w:rsidRDefault="00A545CB" w:rsidP="00196E82">
            <w:pPr>
              <w:spacing w:before="120" w:after="120"/>
            </w:pPr>
            <w:r w:rsidRPr="00DA4655">
              <w:t xml:space="preserve">Guest speakers Misty </w:t>
            </w:r>
            <w:proofErr w:type="spellStart"/>
            <w:r w:rsidRPr="00DA4655">
              <w:t>Adoniou</w:t>
            </w:r>
            <w:proofErr w:type="spellEnd"/>
            <w:r w:rsidRPr="00DA4655">
              <w:t xml:space="preserve"> gave presentations in 2011 on</w:t>
            </w:r>
            <w:r w:rsidRPr="00DA4655">
              <w:rPr>
                <w:i/>
              </w:rPr>
              <w:t xml:space="preserve"> ACARA EALD Resources</w:t>
            </w:r>
            <w:r w:rsidRPr="00DA4655">
              <w:t xml:space="preserve"> and Jo Lo Bianco on - </w:t>
            </w:r>
            <w:r w:rsidRPr="00DA4655">
              <w:rPr>
                <w:i/>
              </w:rPr>
              <w:t>The importance of valuing student’s heritage language</w:t>
            </w:r>
            <w:r w:rsidRPr="00DA4655">
              <w:t xml:space="preserve"> </w:t>
            </w:r>
          </w:p>
          <w:p w:rsidR="00A545CB" w:rsidRPr="00DA4655" w:rsidRDefault="00A545CB" w:rsidP="00196E82">
            <w:pPr>
              <w:spacing w:before="120" w:after="120"/>
            </w:pPr>
            <w:r w:rsidRPr="00DA4655">
              <w:t>Scholarships funded by ETD for tertiary level qualifications in TESOL through UC as ‘Graduate Certificate in Scaffolding English for Speakers of Other Languages’</w:t>
            </w:r>
          </w:p>
          <w:p w:rsidR="00A545CB" w:rsidRPr="00DA4655" w:rsidRDefault="00A545CB" w:rsidP="00196E82">
            <w:pPr>
              <w:spacing w:before="120" w:after="120"/>
            </w:pPr>
            <w:r w:rsidRPr="00DA4655">
              <w:t>Opportunity to train as facilitators in TESMC (Teaching ESL Students in Mainstream Classrooms) and ESLMEL (ESL in the Mainstream for the Early Learner) in 2011 and 2012</w:t>
            </w:r>
          </w:p>
          <w:p w:rsidR="00A545CB" w:rsidRPr="00DA4655" w:rsidRDefault="00A545CB" w:rsidP="00196E82">
            <w:pPr>
              <w:spacing w:before="120" w:after="120"/>
            </w:pPr>
            <w:r w:rsidRPr="00DA4655">
              <w:t>Opportunity to train as facilitators in First Steps Speaking and Listening, First Steps Reading and Writing</w:t>
            </w:r>
          </w:p>
          <w:p w:rsidR="00A545CB" w:rsidRPr="00DA4655" w:rsidRDefault="00A545CB" w:rsidP="00196E82">
            <w:pPr>
              <w:spacing w:before="120" w:after="120"/>
            </w:pPr>
            <w:r w:rsidRPr="00DA4655">
              <w:t>Network meetings/forums for IEC staff</w:t>
            </w:r>
          </w:p>
        </w:tc>
      </w:tr>
    </w:tbl>
    <w:p w:rsidR="0062570A" w:rsidRDefault="0062570A" w:rsidP="00A545CB">
      <w:pPr>
        <w:spacing w:before="120" w:after="120"/>
        <w:rPr>
          <w:b/>
        </w:rPr>
      </w:pPr>
    </w:p>
    <w:p w:rsidR="00A545CB" w:rsidRDefault="00A545CB" w:rsidP="00A545CB">
      <w:pPr>
        <w:spacing w:before="120" w:after="120"/>
        <w:rPr>
          <w:b/>
        </w:rPr>
      </w:pPr>
    </w:p>
    <w:p w:rsidR="000073DA" w:rsidRDefault="000073DA" w:rsidP="00A545CB">
      <w:pPr>
        <w:spacing w:before="120" w:after="120"/>
        <w:rPr>
          <w:b/>
        </w:rPr>
      </w:pPr>
    </w:p>
    <w:p w:rsidR="000073DA" w:rsidRDefault="000073DA" w:rsidP="00A545CB">
      <w:pPr>
        <w:spacing w:before="120" w:after="120"/>
        <w:rPr>
          <w:b/>
        </w:rPr>
      </w:pPr>
    </w:p>
    <w:p w:rsidR="00BF759E" w:rsidRDefault="00BF759E" w:rsidP="00504B61">
      <w:pPr>
        <w:spacing w:before="120" w:after="120"/>
        <w:rPr>
          <w:b/>
          <w:sz w:val="24"/>
          <w:szCs w:val="24"/>
        </w:rPr>
      </w:pPr>
    </w:p>
    <w:p w:rsidR="0030553F" w:rsidRDefault="0030553F" w:rsidP="00504B61">
      <w:pPr>
        <w:spacing w:before="120" w:after="120"/>
        <w:rPr>
          <w:b/>
          <w:sz w:val="24"/>
          <w:szCs w:val="24"/>
        </w:rPr>
      </w:pPr>
    </w:p>
    <w:p w:rsidR="00C07BC5" w:rsidRPr="00196E82" w:rsidRDefault="0030553F" w:rsidP="00C13B7C">
      <w:pPr>
        <w:pStyle w:val="Heading2"/>
      </w:pPr>
      <w:r>
        <w:br w:type="page"/>
      </w:r>
      <w:bookmarkStart w:id="124" w:name="_Toc322083133"/>
      <w:r>
        <w:t xml:space="preserve">Appendix </w:t>
      </w:r>
      <w:r w:rsidR="00050F55">
        <w:t>4</w:t>
      </w:r>
      <w:r w:rsidR="00C07BC5" w:rsidRPr="00196E82">
        <w:t xml:space="preserve">.3 </w:t>
      </w:r>
      <w:r w:rsidR="006F711E">
        <w:tab/>
      </w:r>
      <w:r w:rsidR="00C07BC5" w:rsidRPr="00196E82">
        <w:t>Stakeholder Forum Overview</w:t>
      </w:r>
      <w:r>
        <w:t xml:space="preserve"> and Process</w:t>
      </w:r>
      <w:bookmarkEnd w:id="124"/>
    </w:p>
    <w:p w:rsidR="008F24E8" w:rsidRDefault="00CC0060" w:rsidP="00504B61">
      <w:pPr>
        <w:spacing w:before="120" w:after="120"/>
      </w:pPr>
      <w:r w:rsidRPr="00DA4655">
        <w:t>In conducting the review of EALD Services</w:t>
      </w:r>
      <w:r w:rsidR="008F24E8">
        <w:t>,</w:t>
      </w:r>
      <w:r w:rsidRPr="00DA4655">
        <w:t xml:space="preserve"> a meeting of stakeholders was held on the evening of </w:t>
      </w:r>
      <w:r w:rsidR="008F24E8">
        <w:t xml:space="preserve">27 </w:t>
      </w:r>
      <w:r w:rsidR="009A4A95" w:rsidRPr="00DA4655">
        <w:t xml:space="preserve">February </w:t>
      </w:r>
      <w:r w:rsidR="00F53002">
        <w:t xml:space="preserve">2012 </w:t>
      </w:r>
      <w:r w:rsidR="009A4A95" w:rsidRPr="00DA4655">
        <w:t>at</w:t>
      </w:r>
      <w:r w:rsidRPr="00DA4655">
        <w:t xml:space="preserve"> the Hedley Beare Centre for Teaching and Learning. Representatives from the following groups were invited to participate in the foru</w:t>
      </w:r>
      <w:r w:rsidR="00FA1949">
        <w:t>m:</w:t>
      </w:r>
    </w:p>
    <w:p w:rsidR="003B7C93" w:rsidRDefault="00CC0060">
      <w:pPr>
        <w:numPr>
          <w:ilvl w:val="0"/>
          <w:numId w:val="50"/>
        </w:numPr>
        <w:spacing w:before="120" w:after="120"/>
      </w:pPr>
      <w:r w:rsidRPr="00DA4655">
        <w:t>All EALD public teachers</w:t>
      </w:r>
    </w:p>
    <w:p w:rsidR="003B7C93" w:rsidRDefault="00CC0060">
      <w:pPr>
        <w:numPr>
          <w:ilvl w:val="0"/>
          <w:numId w:val="50"/>
        </w:numPr>
        <w:spacing w:before="120" w:after="120"/>
      </w:pPr>
      <w:r w:rsidRPr="00DA4655">
        <w:t>All ACT public school principals</w:t>
      </w:r>
    </w:p>
    <w:p w:rsidR="003B7C93" w:rsidRDefault="00CC0060">
      <w:pPr>
        <w:numPr>
          <w:ilvl w:val="0"/>
          <w:numId w:val="50"/>
        </w:numPr>
        <w:spacing w:before="120" w:after="120"/>
      </w:pPr>
      <w:r w:rsidRPr="00DA4655">
        <w:t>ACT Human Rights Commission</w:t>
      </w:r>
    </w:p>
    <w:p w:rsidR="003B7C93" w:rsidRDefault="00CC0060">
      <w:pPr>
        <w:numPr>
          <w:ilvl w:val="0"/>
          <w:numId w:val="50"/>
        </w:numPr>
        <w:spacing w:before="120" w:after="120"/>
      </w:pPr>
      <w:r w:rsidRPr="00DA4655">
        <w:t>ACT Refugee Support</w:t>
      </w:r>
    </w:p>
    <w:p w:rsidR="003B7C93" w:rsidRDefault="00CC0060">
      <w:pPr>
        <w:numPr>
          <w:ilvl w:val="0"/>
          <w:numId w:val="50"/>
        </w:numPr>
        <w:spacing w:before="120" w:after="120"/>
      </w:pPr>
      <w:r w:rsidRPr="00DA4655">
        <w:t>Canberra Multicultural Community Forum</w:t>
      </w:r>
    </w:p>
    <w:p w:rsidR="003B7C93" w:rsidRDefault="00CC0060">
      <w:pPr>
        <w:numPr>
          <w:ilvl w:val="0"/>
          <w:numId w:val="50"/>
        </w:numPr>
        <w:spacing w:before="120" w:after="120"/>
      </w:pPr>
      <w:r w:rsidRPr="00DA4655">
        <w:t>Refugee Resettlement Committee</w:t>
      </w:r>
    </w:p>
    <w:p w:rsidR="003B7C93" w:rsidRDefault="00CC0060">
      <w:pPr>
        <w:numPr>
          <w:ilvl w:val="0"/>
          <w:numId w:val="50"/>
        </w:numPr>
        <w:spacing w:before="120" w:after="120"/>
      </w:pPr>
      <w:r w:rsidRPr="00DA4655">
        <w:t>Companion House</w:t>
      </w:r>
    </w:p>
    <w:p w:rsidR="003B7C93" w:rsidRDefault="00CC0060">
      <w:pPr>
        <w:numPr>
          <w:ilvl w:val="0"/>
          <w:numId w:val="50"/>
        </w:numPr>
        <w:spacing w:before="120" w:after="120"/>
      </w:pPr>
      <w:r w:rsidRPr="00DA4655">
        <w:t>ACT Principals’ Association</w:t>
      </w:r>
    </w:p>
    <w:p w:rsidR="003B7C93" w:rsidRDefault="00CC0060">
      <w:pPr>
        <w:numPr>
          <w:ilvl w:val="0"/>
          <w:numId w:val="50"/>
        </w:numPr>
        <w:spacing w:before="120" w:after="120"/>
      </w:pPr>
      <w:r w:rsidRPr="00DA4655">
        <w:t>Australian Education Union – ACT Branch</w:t>
      </w:r>
    </w:p>
    <w:p w:rsidR="003B7C93" w:rsidRDefault="00CC0060">
      <w:pPr>
        <w:numPr>
          <w:ilvl w:val="0"/>
          <w:numId w:val="50"/>
        </w:numPr>
        <w:spacing w:before="120" w:after="120"/>
      </w:pPr>
      <w:r w:rsidRPr="00DA4655">
        <w:t>ACT Council of P&amp;C Associations</w:t>
      </w:r>
    </w:p>
    <w:p w:rsidR="003B7C93" w:rsidRDefault="00CC0060">
      <w:pPr>
        <w:numPr>
          <w:ilvl w:val="0"/>
          <w:numId w:val="50"/>
        </w:numPr>
        <w:spacing w:before="120" w:after="120"/>
      </w:pPr>
      <w:r w:rsidRPr="00DA4655">
        <w:t>Office of Multicultural, Aboriginal and Torres Strait Islander Affairs</w:t>
      </w:r>
    </w:p>
    <w:p w:rsidR="003B7C93" w:rsidRDefault="00CC0060">
      <w:pPr>
        <w:numPr>
          <w:ilvl w:val="0"/>
          <w:numId w:val="50"/>
        </w:numPr>
        <w:spacing w:before="120" w:after="120"/>
      </w:pPr>
      <w:r w:rsidRPr="00DA4655">
        <w:t>Association of Teachers of English to Speakers of Other Languages ACT</w:t>
      </w:r>
    </w:p>
    <w:p w:rsidR="003B7C93" w:rsidRDefault="00CC0060">
      <w:pPr>
        <w:numPr>
          <w:ilvl w:val="0"/>
          <w:numId w:val="50"/>
        </w:numPr>
        <w:spacing w:before="120" w:after="120"/>
      </w:pPr>
      <w:r w:rsidRPr="00DA4655">
        <w:t>Migrant and Refugee Settlement Services of the ACT</w:t>
      </w:r>
    </w:p>
    <w:p w:rsidR="003B7C93" w:rsidRDefault="00CC0060">
      <w:pPr>
        <w:numPr>
          <w:ilvl w:val="0"/>
          <w:numId w:val="50"/>
        </w:numPr>
        <w:spacing w:before="120" w:after="120"/>
      </w:pPr>
      <w:r w:rsidRPr="00DA4655">
        <w:t>Literacy and Numeracy Reference Group (ACT Education and Training Directorate)</w:t>
      </w:r>
    </w:p>
    <w:p w:rsidR="00CC0060" w:rsidRDefault="00CC0060" w:rsidP="00C10DDF">
      <w:pPr>
        <w:spacing w:before="120" w:after="120" w:line="240" w:lineRule="auto"/>
      </w:pPr>
      <w:r w:rsidRPr="00DA4655">
        <w:t xml:space="preserve">The Stakeholder forum was well attended with 34 EALD teachers, nine Principals, six representatives from community organisations and five from Professional Associations </w:t>
      </w:r>
      <w:r w:rsidR="00F53002">
        <w:t>(s</w:t>
      </w:r>
      <w:r w:rsidRPr="00DA4655">
        <w:t xml:space="preserve">ee Appendix </w:t>
      </w:r>
      <w:r w:rsidR="00F53002">
        <w:t>4</w:t>
      </w:r>
      <w:r w:rsidR="008F24E8">
        <w:t>.1</w:t>
      </w:r>
      <w:r w:rsidRPr="00DA4655">
        <w:t xml:space="preserve"> for a list of all participants</w:t>
      </w:r>
      <w:r w:rsidR="00F53002">
        <w:t>)</w:t>
      </w:r>
      <w:r w:rsidRPr="00DA4655">
        <w:t>.</w:t>
      </w:r>
      <w:r w:rsidR="008F24E8">
        <w:br/>
      </w:r>
    </w:p>
    <w:p w:rsidR="008F24E8" w:rsidRPr="008F24E8" w:rsidRDefault="008F24E8" w:rsidP="00504B61">
      <w:pPr>
        <w:spacing w:before="120" w:after="120"/>
        <w:rPr>
          <w:b/>
        </w:rPr>
      </w:pPr>
      <w:r w:rsidRPr="008F24E8">
        <w:rPr>
          <w:b/>
        </w:rPr>
        <w:t>PROCESS</w:t>
      </w:r>
    </w:p>
    <w:p w:rsidR="008F24E8" w:rsidRDefault="00CC0060" w:rsidP="008F35EE">
      <w:pPr>
        <w:numPr>
          <w:ilvl w:val="0"/>
          <w:numId w:val="35"/>
        </w:numPr>
        <w:spacing w:before="120" w:after="120" w:line="240" w:lineRule="auto"/>
        <w:ind w:left="426"/>
      </w:pPr>
      <w:r w:rsidRPr="00DA4655">
        <w:t>A brief Background Paper</w:t>
      </w:r>
      <w:r w:rsidRPr="00DA4655">
        <w:rPr>
          <w:rStyle w:val="FootnoteReference"/>
        </w:rPr>
        <w:footnoteReference w:id="12"/>
      </w:r>
      <w:r w:rsidRPr="00DA4655">
        <w:t xml:space="preserve"> was provided</w:t>
      </w:r>
      <w:r w:rsidR="008F24E8">
        <w:t>, which</w:t>
      </w:r>
      <w:r w:rsidRPr="00DA4655">
        <w:t xml:space="preserve"> gave a general overview of EALD services provided by the Edu</w:t>
      </w:r>
      <w:r w:rsidR="008F24E8">
        <w:t>cation and Training Directorate. P</w:t>
      </w:r>
      <w:r w:rsidRPr="00DA4655">
        <w:t>articipants were divided into four stakeholder categories:</w:t>
      </w:r>
    </w:p>
    <w:p w:rsidR="008F24E8" w:rsidRDefault="00CC0060" w:rsidP="008F35EE">
      <w:pPr>
        <w:numPr>
          <w:ilvl w:val="1"/>
          <w:numId w:val="35"/>
        </w:numPr>
        <w:spacing w:before="120" w:after="120"/>
      </w:pPr>
      <w:r w:rsidRPr="008F24E8">
        <w:t>EALD Teachers</w:t>
      </w:r>
      <w:r w:rsidRPr="008F24E8">
        <w:tab/>
      </w:r>
      <w:r w:rsidRPr="008F24E8">
        <w:tab/>
      </w:r>
    </w:p>
    <w:p w:rsidR="008F24E8" w:rsidRDefault="00CC0060" w:rsidP="008F35EE">
      <w:pPr>
        <w:numPr>
          <w:ilvl w:val="1"/>
          <w:numId w:val="35"/>
        </w:numPr>
        <w:spacing w:before="120" w:after="120"/>
      </w:pPr>
      <w:r w:rsidRPr="008F24E8">
        <w:t>Principals</w:t>
      </w:r>
      <w:r w:rsidRPr="008F24E8">
        <w:tab/>
      </w:r>
    </w:p>
    <w:p w:rsidR="008F24E8" w:rsidRDefault="00CC0060" w:rsidP="008F35EE">
      <w:pPr>
        <w:numPr>
          <w:ilvl w:val="1"/>
          <w:numId w:val="35"/>
        </w:numPr>
        <w:spacing w:before="120" w:after="120"/>
      </w:pPr>
      <w:r w:rsidRPr="008F24E8">
        <w:t xml:space="preserve">Community Representatives </w:t>
      </w:r>
      <w:r w:rsidRPr="008F24E8">
        <w:tab/>
      </w:r>
    </w:p>
    <w:p w:rsidR="00CC0060" w:rsidRDefault="00CC0060" w:rsidP="008F35EE">
      <w:pPr>
        <w:numPr>
          <w:ilvl w:val="1"/>
          <w:numId w:val="35"/>
        </w:numPr>
        <w:spacing w:before="120" w:after="120"/>
      </w:pPr>
      <w:r w:rsidRPr="008F24E8">
        <w:t>Professional Associations</w:t>
      </w:r>
      <w:r w:rsidR="008F24E8">
        <w:t>.</w:t>
      </w:r>
      <w:r w:rsidR="008F24E8" w:rsidRPr="008F24E8">
        <w:br/>
      </w:r>
    </w:p>
    <w:p w:rsidR="008F24E8" w:rsidRPr="008F24E8" w:rsidRDefault="008F24E8" w:rsidP="008F24E8">
      <w:pPr>
        <w:spacing w:before="120" w:after="120"/>
      </w:pPr>
    </w:p>
    <w:p w:rsidR="00CC0060" w:rsidRPr="00DA4655" w:rsidRDefault="00CC0060" w:rsidP="008F35EE">
      <w:pPr>
        <w:numPr>
          <w:ilvl w:val="0"/>
          <w:numId w:val="35"/>
        </w:numPr>
        <w:spacing w:before="120" w:after="120"/>
        <w:ind w:left="426"/>
      </w:pPr>
      <w:r w:rsidRPr="00DA4655">
        <w:t>Participants worked in small groups to discuss and record comments against the following:</w:t>
      </w:r>
      <w:r w:rsidR="008F24E8">
        <w:br/>
      </w:r>
    </w:p>
    <w:p w:rsidR="00CC0060" w:rsidRPr="008F24E8" w:rsidRDefault="00CC0060" w:rsidP="00504B61">
      <w:pPr>
        <w:spacing w:before="120" w:after="120"/>
        <w:rPr>
          <w:i/>
        </w:rPr>
      </w:pPr>
      <w:r w:rsidRPr="008F24E8">
        <w:rPr>
          <w:i/>
        </w:rPr>
        <w:t xml:space="preserve">Provision of EALD (ESL) services </w:t>
      </w:r>
    </w:p>
    <w:p w:rsidR="00CC0060" w:rsidRPr="00DA4655" w:rsidRDefault="00CC0060" w:rsidP="008F24E8">
      <w:pPr>
        <w:spacing w:before="120" w:after="120"/>
        <w:ind w:left="720"/>
      </w:pPr>
      <w:r w:rsidRPr="00DA4655">
        <w:t>What are the strengths of the current provision of EALD services?</w:t>
      </w:r>
    </w:p>
    <w:p w:rsidR="00CC0060" w:rsidRDefault="00CC0060" w:rsidP="008F24E8">
      <w:pPr>
        <w:spacing w:before="120" w:after="120"/>
        <w:ind w:left="720"/>
      </w:pPr>
      <w:r w:rsidRPr="00DA4655">
        <w:t>What is missing?</w:t>
      </w:r>
    </w:p>
    <w:p w:rsidR="00067393" w:rsidRPr="00DA4655" w:rsidRDefault="00067393" w:rsidP="008F24E8">
      <w:pPr>
        <w:spacing w:before="120" w:after="120"/>
        <w:ind w:left="720"/>
      </w:pPr>
    </w:p>
    <w:p w:rsidR="00CC0060" w:rsidRPr="008F24E8" w:rsidRDefault="00CC0060" w:rsidP="00504B61">
      <w:pPr>
        <w:spacing w:before="120" w:after="120"/>
        <w:rPr>
          <w:i/>
        </w:rPr>
      </w:pPr>
      <w:r w:rsidRPr="008F24E8">
        <w:rPr>
          <w:i/>
        </w:rPr>
        <w:t>The LPR process and subsequent funding of students</w:t>
      </w:r>
    </w:p>
    <w:p w:rsidR="00CC0060" w:rsidRPr="00DA4655" w:rsidRDefault="00CC0060" w:rsidP="008F24E8">
      <w:pPr>
        <w:spacing w:before="120" w:after="120"/>
        <w:ind w:left="720"/>
      </w:pPr>
      <w:r w:rsidRPr="00DA4655">
        <w:t>What are the benefits of the current LPR identification process?</w:t>
      </w:r>
    </w:p>
    <w:p w:rsidR="00CC0060" w:rsidRPr="00DA4655" w:rsidRDefault="00CC0060" w:rsidP="008F24E8">
      <w:pPr>
        <w:spacing w:before="120" w:after="120"/>
        <w:ind w:left="720"/>
      </w:pPr>
      <w:r w:rsidRPr="00DA4655">
        <w:t>What are the concerns about it?</w:t>
      </w:r>
    </w:p>
    <w:p w:rsidR="00CC0060" w:rsidRPr="00DA4655" w:rsidRDefault="00CC0060" w:rsidP="008F24E8">
      <w:pPr>
        <w:spacing w:before="120" w:after="120"/>
        <w:ind w:left="720"/>
      </w:pPr>
      <w:r w:rsidRPr="00DA4655">
        <w:t>What other processes could be used for funding EALD support?</w:t>
      </w:r>
    </w:p>
    <w:p w:rsidR="00CC0060" w:rsidRPr="00DA4655" w:rsidRDefault="00CC0060" w:rsidP="00504B61">
      <w:pPr>
        <w:spacing w:before="120" w:after="120"/>
      </w:pPr>
    </w:p>
    <w:p w:rsidR="00CC0060" w:rsidRPr="008F24E8" w:rsidRDefault="00CC0060" w:rsidP="00504B61">
      <w:pPr>
        <w:spacing w:before="120" w:after="120"/>
        <w:rPr>
          <w:i/>
        </w:rPr>
      </w:pPr>
      <w:r w:rsidRPr="008F24E8">
        <w:rPr>
          <w:i/>
        </w:rPr>
        <w:t>The professional development and Directorate support services available to teachers</w:t>
      </w:r>
    </w:p>
    <w:p w:rsidR="00CC0060" w:rsidRPr="00DA4655" w:rsidRDefault="00CC0060" w:rsidP="008F24E8">
      <w:pPr>
        <w:spacing w:before="120" w:after="120"/>
        <w:ind w:left="720"/>
      </w:pPr>
      <w:r w:rsidRPr="00DA4655">
        <w:t>What are the strengths of the current professional learning and support offered by the Directorate to teachers?</w:t>
      </w:r>
    </w:p>
    <w:p w:rsidR="00CC0060" w:rsidRDefault="00CC0060" w:rsidP="008F24E8">
      <w:pPr>
        <w:spacing w:before="120" w:after="120"/>
        <w:ind w:left="720"/>
      </w:pPr>
      <w:r w:rsidRPr="00DA4655">
        <w:t>What areas of professional learning and support should be offered by the Directorate to teachers?</w:t>
      </w:r>
    </w:p>
    <w:p w:rsidR="00FA1949" w:rsidRPr="00DA4655" w:rsidRDefault="00FA1949" w:rsidP="00504B61">
      <w:pPr>
        <w:spacing w:before="120" w:after="120"/>
      </w:pPr>
    </w:p>
    <w:p w:rsidR="00CC0060" w:rsidRPr="00DA4655" w:rsidRDefault="00CC0060" w:rsidP="008F35EE">
      <w:pPr>
        <w:numPr>
          <w:ilvl w:val="0"/>
          <w:numId w:val="35"/>
        </w:numPr>
        <w:spacing w:before="120" w:after="120"/>
        <w:ind w:left="426"/>
      </w:pPr>
      <w:r w:rsidRPr="00DA4655">
        <w:t>Responses from all table groups were collated and summarised to identify common issues against the following questions:</w:t>
      </w:r>
    </w:p>
    <w:p w:rsidR="00CC0060" w:rsidRPr="00DA4655" w:rsidRDefault="00CC0060" w:rsidP="008F24E8">
      <w:pPr>
        <w:spacing w:before="120" w:after="120"/>
        <w:ind w:left="720"/>
      </w:pPr>
      <w:r w:rsidRPr="00DA4655">
        <w:t>What is missing in the provision of EALD services?</w:t>
      </w:r>
    </w:p>
    <w:p w:rsidR="00CC0060" w:rsidRPr="00DA4655" w:rsidRDefault="00CC0060" w:rsidP="008F24E8">
      <w:pPr>
        <w:spacing w:before="120" w:after="120"/>
        <w:ind w:left="720"/>
      </w:pPr>
      <w:r w:rsidRPr="00DA4655">
        <w:t>What are the concerns with the LPR process and subsequent funding of students?</w:t>
      </w:r>
    </w:p>
    <w:p w:rsidR="00CC0060" w:rsidRPr="00DA4655" w:rsidRDefault="00CC0060" w:rsidP="008F24E8">
      <w:pPr>
        <w:spacing w:before="120" w:after="120"/>
        <w:ind w:left="720"/>
      </w:pPr>
      <w:r w:rsidRPr="00DA4655">
        <w:t>What areas of professional learning and support should be offered by the Directorate to teachers?</w:t>
      </w:r>
    </w:p>
    <w:p w:rsidR="00CC0060" w:rsidRPr="00DA4655" w:rsidRDefault="00CC0060" w:rsidP="00504B61">
      <w:pPr>
        <w:spacing w:before="120" w:after="120"/>
      </w:pPr>
    </w:p>
    <w:p w:rsidR="00FA1949" w:rsidRDefault="00CC0060" w:rsidP="008F35EE">
      <w:pPr>
        <w:numPr>
          <w:ilvl w:val="0"/>
          <w:numId w:val="35"/>
        </w:numPr>
        <w:spacing w:before="120" w:after="120" w:line="240" w:lineRule="auto"/>
        <w:ind w:left="426"/>
        <w:rPr>
          <w:rStyle w:val="BookTitle"/>
          <w:bCs/>
          <w:smallCaps/>
        </w:rPr>
      </w:pPr>
      <w:r w:rsidRPr="00DA4655">
        <w:t>Participants were then given an opportunity to prioritise the issues by ‘voting’ for their top six issues or concerns.  If they felt strongly about one issue then all six votes could be allocated to that issue or alternatively votes could be spread across six different issues. This approach provided detailed feedback from each of the stakeholder groups as well as an overall consensus ranking of the key issues and concerns. A collation of the responses from all stakeholders is contained in Appendix 5.</w:t>
      </w:r>
      <w:r w:rsidR="00B14038" w:rsidRPr="00DA4655">
        <w:rPr>
          <w:rStyle w:val="BookTitle"/>
          <w:bCs/>
          <w:smallCaps/>
          <w:sz w:val="44"/>
          <w:szCs w:val="44"/>
        </w:rPr>
        <w:br/>
      </w:r>
    </w:p>
    <w:p w:rsidR="00C07BC5" w:rsidRDefault="00C07BC5" w:rsidP="00504B61">
      <w:pPr>
        <w:spacing w:before="120" w:after="120"/>
        <w:rPr>
          <w:rStyle w:val="BookTitle"/>
          <w:bCs/>
          <w:smallCaps/>
        </w:rPr>
      </w:pPr>
    </w:p>
    <w:p w:rsidR="00C07BC5" w:rsidRDefault="00C07BC5" w:rsidP="00504B61">
      <w:pPr>
        <w:spacing w:before="120" w:after="120"/>
        <w:rPr>
          <w:rStyle w:val="BookTitle"/>
          <w:bCs/>
          <w:smallCaps/>
        </w:rPr>
      </w:pPr>
    </w:p>
    <w:p w:rsidR="00C07BC5" w:rsidRDefault="00C07BC5" w:rsidP="00504B61">
      <w:pPr>
        <w:spacing w:before="120" w:after="120"/>
        <w:rPr>
          <w:rStyle w:val="BookTitle"/>
          <w:bCs/>
          <w:smallCaps/>
        </w:rPr>
      </w:pPr>
    </w:p>
    <w:p w:rsidR="00C07BC5" w:rsidRDefault="00C07BC5" w:rsidP="00504B61">
      <w:pPr>
        <w:spacing w:before="120" w:after="120"/>
        <w:rPr>
          <w:rStyle w:val="BookTitle"/>
          <w:bCs/>
          <w:smallCaps/>
        </w:rPr>
      </w:pPr>
    </w:p>
    <w:p w:rsidR="008D0CB8" w:rsidRDefault="008D0CB8" w:rsidP="00504B61">
      <w:pPr>
        <w:spacing w:before="120" w:after="120"/>
        <w:rPr>
          <w:rStyle w:val="BookTitle"/>
          <w:bCs/>
          <w:smallCaps/>
        </w:rPr>
      </w:pPr>
    </w:p>
    <w:p w:rsidR="00D63C04" w:rsidRDefault="00D63C04" w:rsidP="00504B61">
      <w:pPr>
        <w:spacing w:before="120" w:after="120"/>
        <w:rPr>
          <w:rStyle w:val="BookTitle"/>
          <w:bCs/>
          <w:smallCaps/>
          <w:sz w:val="24"/>
          <w:szCs w:val="24"/>
        </w:rPr>
      </w:pPr>
    </w:p>
    <w:p w:rsidR="00C07BC5" w:rsidRPr="005E0AD0" w:rsidRDefault="0030553F" w:rsidP="00C13B7C">
      <w:pPr>
        <w:pStyle w:val="Heading2"/>
        <w:rPr>
          <w:rStyle w:val="BookTitle"/>
          <w:b/>
        </w:rPr>
      </w:pPr>
      <w:bookmarkStart w:id="125" w:name="_Toc322083134"/>
      <w:r w:rsidRPr="005E0AD0">
        <w:rPr>
          <w:rStyle w:val="BookTitle"/>
          <w:b/>
        </w:rPr>
        <w:t xml:space="preserve">Appendix </w:t>
      </w:r>
      <w:r w:rsidR="00050F55" w:rsidRPr="005E0AD0">
        <w:rPr>
          <w:rStyle w:val="BookTitle"/>
          <w:b/>
        </w:rPr>
        <w:t>4</w:t>
      </w:r>
      <w:r w:rsidR="00C07BC5" w:rsidRPr="005E0AD0">
        <w:rPr>
          <w:rStyle w:val="BookTitle"/>
          <w:b/>
        </w:rPr>
        <w:t xml:space="preserve">.4 </w:t>
      </w:r>
      <w:r w:rsidR="006F711E" w:rsidRPr="005E0AD0">
        <w:rPr>
          <w:rStyle w:val="BookTitle"/>
          <w:b/>
        </w:rPr>
        <w:tab/>
      </w:r>
      <w:r w:rsidR="00C07BC5" w:rsidRPr="005E0AD0">
        <w:rPr>
          <w:rStyle w:val="BookTitle"/>
          <w:b/>
        </w:rPr>
        <w:t>Summary of Stakeholder feedback</w:t>
      </w:r>
      <w:bookmarkEnd w:id="125"/>
    </w:p>
    <w:p w:rsidR="00B14038" w:rsidRPr="00BF759E" w:rsidRDefault="00B14038" w:rsidP="00504B61">
      <w:pPr>
        <w:spacing w:before="120" w:after="120"/>
        <w:rPr>
          <w:b/>
        </w:rPr>
      </w:pPr>
      <w:bookmarkStart w:id="126" w:name="_Toc318816214"/>
      <w:bookmarkStart w:id="127" w:name="_Toc318816242"/>
      <w:bookmarkStart w:id="128" w:name="_Toc320010940"/>
      <w:r w:rsidRPr="00BF759E">
        <w:rPr>
          <w:b/>
        </w:rPr>
        <w:t>PROVISION OF EALD SERVICES</w:t>
      </w:r>
      <w:bookmarkEnd w:id="126"/>
      <w:bookmarkEnd w:id="127"/>
      <w:bookmarkEnd w:id="128"/>
    </w:p>
    <w:p w:rsidR="00B14038" w:rsidRPr="00DA4655" w:rsidRDefault="00B14038" w:rsidP="00504B61">
      <w:pPr>
        <w:spacing w:before="120" w:after="120"/>
      </w:pPr>
      <w:r w:rsidRPr="00DA4655">
        <w:t>Participants identified key strengths of the current provision of services including:</w:t>
      </w:r>
    </w:p>
    <w:p w:rsidR="00B14038" w:rsidRPr="00DA4655" w:rsidRDefault="00B14038" w:rsidP="008F35EE">
      <w:pPr>
        <w:numPr>
          <w:ilvl w:val="0"/>
          <w:numId w:val="31"/>
        </w:numPr>
        <w:spacing w:before="120" w:after="120" w:line="240" w:lineRule="auto"/>
      </w:pPr>
      <w:r w:rsidRPr="00DA4655">
        <w:t>The expertise and dedication of EALD teachers within the system that supports the unique needs of EALD students</w:t>
      </w:r>
    </w:p>
    <w:p w:rsidR="00B14038" w:rsidRPr="00DA4655" w:rsidRDefault="00B14038" w:rsidP="008F35EE">
      <w:pPr>
        <w:numPr>
          <w:ilvl w:val="0"/>
          <w:numId w:val="31"/>
        </w:numPr>
        <w:spacing w:before="120" w:after="120" w:line="240" w:lineRule="auto"/>
      </w:pPr>
      <w:r w:rsidRPr="00DA4655">
        <w:t>The allocation of system resources to EALD students through specific Introductory English Centres and staffing points to mainstream setting</w:t>
      </w:r>
    </w:p>
    <w:p w:rsidR="00B14038" w:rsidRPr="00DA4655" w:rsidRDefault="00B14038" w:rsidP="008F35EE">
      <w:pPr>
        <w:numPr>
          <w:ilvl w:val="0"/>
          <w:numId w:val="31"/>
        </w:numPr>
        <w:spacing w:before="120" w:after="120" w:line="240" w:lineRule="auto"/>
      </w:pPr>
      <w:r w:rsidRPr="00DA4655">
        <w:t>The range of professional learning that supports the development of EALD teachers and raises the awareness of the needs of EALD students</w:t>
      </w:r>
    </w:p>
    <w:p w:rsidR="00B14038" w:rsidRPr="00DA4655" w:rsidRDefault="00B14038" w:rsidP="008F35EE">
      <w:pPr>
        <w:numPr>
          <w:ilvl w:val="0"/>
          <w:numId w:val="31"/>
        </w:numPr>
        <w:spacing w:before="120" w:after="120" w:line="240" w:lineRule="auto"/>
      </w:pPr>
      <w:r w:rsidRPr="00DA4655">
        <w:t xml:space="preserve">The new </w:t>
      </w:r>
      <w:r w:rsidRPr="00DA4655">
        <w:rPr>
          <w:i/>
        </w:rPr>
        <w:t>English as an Additional Language or Dialect Manual</w:t>
      </w:r>
      <w:r w:rsidRPr="00DA4655">
        <w:t xml:space="preserve"> (December 2011) and the ongoing support provided by the EALD Executive Officer and other officers within the Literacy and Numeracy team</w:t>
      </w:r>
    </w:p>
    <w:p w:rsidR="0062570A" w:rsidRPr="00302F39" w:rsidRDefault="00B14038" w:rsidP="008F35EE">
      <w:pPr>
        <w:numPr>
          <w:ilvl w:val="0"/>
          <w:numId w:val="31"/>
        </w:numPr>
        <w:spacing w:before="120" w:after="120" w:line="240" w:lineRule="auto"/>
      </w:pPr>
      <w:r w:rsidRPr="00DA4655">
        <w:t>The refugee programs that support an emerging need in student support.</w:t>
      </w:r>
    </w:p>
    <w:p w:rsidR="00B14038" w:rsidRPr="000073DA" w:rsidRDefault="006464CF" w:rsidP="00504B61">
      <w:pPr>
        <w:spacing w:before="120" w:after="120"/>
        <w:rPr>
          <w:rFonts w:cs="Calibri"/>
          <w:sz w:val="24"/>
          <w:szCs w:val="24"/>
        </w:rPr>
      </w:pPr>
      <w:r>
        <w:rPr>
          <w:b/>
        </w:rPr>
        <w:br/>
      </w:r>
      <w:r w:rsidR="00B14038" w:rsidRPr="000073DA">
        <w:t xml:space="preserve">In analysing the feedback on what is missing in the provision of EALD services the issues raised can be categorised into </w:t>
      </w:r>
      <w:r w:rsidR="0028026D">
        <w:t>four</w:t>
      </w:r>
      <w:r w:rsidR="0028026D" w:rsidRPr="000073DA">
        <w:t xml:space="preserve"> </w:t>
      </w:r>
      <w:r w:rsidR="00B14038" w:rsidRPr="000073DA">
        <w:t>main groups:</w:t>
      </w:r>
    </w:p>
    <w:p w:rsidR="00B14038" w:rsidRPr="00DA4655" w:rsidRDefault="00B14038" w:rsidP="008F35EE">
      <w:pPr>
        <w:numPr>
          <w:ilvl w:val="0"/>
          <w:numId w:val="32"/>
        </w:numPr>
        <w:spacing w:before="120" w:after="120" w:line="240" w:lineRule="auto"/>
      </w:pPr>
      <w:r w:rsidRPr="00DA4655">
        <w:t>Funding and Resourcing</w:t>
      </w:r>
      <w:r w:rsidR="006464CF">
        <w:t>.</w:t>
      </w:r>
    </w:p>
    <w:p w:rsidR="00B14038" w:rsidRPr="00DA4655" w:rsidRDefault="00B14038" w:rsidP="008F35EE">
      <w:pPr>
        <w:numPr>
          <w:ilvl w:val="0"/>
          <w:numId w:val="32"/>
        </w:numPr>
        <w:spacing w:before="120" w:after="120" w:line="240" w:lineRule="auto"/>
      </w:pPr>
      <w:r w:rsidRPr="00DA4655">
        <w:t>Central Office Support</w:t>
      </w:r>
      <w:r w:rsidR="006464CF">
        <w:t>.</w:t>
      </w:r>
    </w:p>
    <w:p w:rsidR="00B14038" w:rsidRPr="00DA4655" w:rsidRDefault="00B14038" w:rsidP="008F35EE">
      <w:pPr>
        <w:numPr>
          <w:ilvl w:val="0"/>
          <w:numId w:val="32"/>
        </w:numPr>
        <w:spacing w:before="120" w:after="120" w:line="240" w:lineRule="auto"/>
      </w:pPr>
      <w:r w:rsidRPr="00DA4655">
        <w:t>Training and Professional Learning for teachers</w:t>
      </w:r>
      <w:r w:rsidR="006464CF">
        <w:t>.</w:t>
      </w:r>
    </w:p>
    <w:p w:rsidR="006464CF" w:rsidRPr="000073DA" w:rsidRDefault="0062570A" w:rsidP="008F35EE">
      <w:pPr>
        <w:numPr>
          <w:ilvl w:val="0"/>
          <w:numId w:val="32"/>
        </w:numPr>
        <w:spacing w:before="120" w:after="120" w:line="240" w:lineRule="auto"/>
        <w:rPr>
          <w:sz w:val="16"/>
          <w:szCs w:val="16"/>
        </w:rPr>
      </w:pPr>
      <w:r w:rsidRPr="00DA4655">
        <w:t>Assessment and</w:t>
      </w:r>
      <w:r w:rsidR="00B14038" w:rsidRPr="00DA4655">
        <w:t xml:space="preserve"> Curriculum</w:t>
      </w:r>
      <w:r w:rsidR="006464CF">
        <w:t>.</w:t>
      </w:r>
      <w:r w:rsidR="000073DA">
        <w:br/>
      </w:r>
    </w:p>
    <w:p w:rsidR="00B14038" w:rsidRPr="00DA4655" w:rsidRDefault="00B14038" w:rsidP="000073DA">
      <w:pPr>
        <w:spacing w:before="120" w:after="120" w:line="240" w:lineRule="auto"/>
      </w:pPr>
      <w:r w:rsidRPr="00DA4655">
        <w:t xml:space="preserve">The strongest concerns/issues were raised in relation to funding and resourcing of EALD students and programs.  Participants highlighted the inadequacy of the overall level of funding as being the most significant issue.  Other issues raised in this category included: </w:t>
      </w:r>
    </w:p>
    <w:p w:rsidR="00B14038" w:rsidRPr="00DA4655" w:rsidRDefault="0062570A" w:rsidP="008F35EE">
      <w:pPr>
        <w:numPr>
          <w:ilvl w:val="0"/>
          <w:numId w:val="10"/>
        </w:numPr>
        <w:spacing w:before="120" w:after="120" w:line="240" w:lineRule="auto"/>
      </w:pPr>
      <w:r>
        <w:t>t</w:t>
      </w:r>
      <w:r w:rsidR="00B14038" w:rsidRPr="00DA4655">
        <w:t xml:space="preserve">he need for increased support for Preschools </w:t>
      </w:r>
    </w:p>
    <w:p w:rsidR="00B14038" w:rsidRPr="00DA4655" w:rsidRDefault="0062570A" w:rsidP="008F35EE">
      <w:pPr>
        <w:numPr>
          <w:ilvl w:val="0"/>
          <w:numId w:val="10"/>
        </w:numPr>
        <w:spacing w:before="120" w:after="120" w:line="240" w:lineRule="auto"/>
      </w:pPr>
      <w:r>
        <w:t>i</w:t>
      </w:r>
      <w:r w:rsidR="00B14038" w:rsidRPr="00DA4655">
        <w:t>ncreased support for student transition</w:t>
      </w:r>
    </w:p>
    <w:p w:rsidR="00B14038" w:rsidRPr="00DA4655" w:rsidRDefault="0062570A" w:rsidP="008F35EE">
      <w:pPr>
        <w:numPr>
          <w:ilvl w:val="0"/>
          <w:numId w:val="10"/>
        </w:numPr>
        <w:spacing w:before="120" w:after="120" w:line="240" w:lineRule="auto"/>
      </w:pPr>
      <w:r>
        <w:t>m</w:t>
      </w:r>
      <w:r w:rsidR="00B14038" w:rsidRPr="00DA4655">
        <w:t>ore time for students in IECs</w:t>
      </w:r>
    </w:p>
    <w:p w:rsidR="00B14038" w:rsidRPr="00DA4655" w:rsidRDefault="0062570A" w:rsidP="008F35EE">
      <w:pPr>
        <w:numPr>
          <w:ilvl w:val="0"/>
          <w:numId w:val="10"/>
        </w:numPr>
        <w:spacing w:before="120" w:after="120" w:line="240" w:lineRule="auto"/>
      </w:pPr>
      <w:r>
        <w:t>i</w:t>
      </w:r>
      <w:r w:rsidR="00B14038" w:rsidRPr="00DA4655">
        <w:t>ncreased funding for interpreters</w:t>
      </w:r>
    </w:p>
    <w:p w:rsidR="00B14038" w:rsidRDefault="00B14038" w:rsidP="00067393">
      <w:pPr>
        <w:numPr>
          <w:ilvl w:val="0"/>
          <w:numId w:val="10"/>
        </w:numPr>
        <w:spacing w:before="120" w:after="0" w:line="240" w:lineRule="auto"/>
        <w:ind w:left="714" w:hanging="357"/>
      </w:pPr>
      <w:proofErr w:type="gramStart"/>
      <w:r w:rsidRPr="00DA4655">
        <w:t>the</w:t>
      </w:r>
      <w:proofErr w:type="gramEnd"/>
      <w:r w:rsidRPr="00DA4655">
        <w:t xml:space="preserve"> potential for schools (Principals) to dilute EALD support by redirecting resources to other areas.</w:t>
      </w:r>
    </w:p>
    <w:p w:rsidR="00067393" w:rsidRDefault="00067393" w:rsidP="000073DA">
      <w:pPr>
        <w:spacing w:before="120" w:after="120" w:line="240" w:lineRule="auto"/>
      </w:pPr>
    </w:p>
    <w:p w:rsidR="00B14038" w:rsidRPr="00DA4655" w:rsidRDefault="00B14038" w:rsidP="000073DA">
      <w:pPr>
        <w:spacing w:before="120" w:after="120" w:line="240" w:lineRule="auto"/>
      </w:pPr>
      <w:r w:rsidRPr="00DA4655">
        <w:t>Under the area of Professional Learning and Training there was strong consensus that all EALD teachers should be TESOL qualified as well as having access to further training and professional learning.  Increased knowledge of current practice in other states was also raised by some participants.  In the area of Central Office support concerns were raised around the disbanding of the ESL Reference Group, the loss of Early Childhood Educator positions</w:t>
      </w:r>
      <w:r w:rsidRPr="00DA4655">
        <w:rPr>
          <w:rStyle w:val="FootnoteReference"/>
        </w:rPr>
        <w:footnoteReference w:id="13"/>
      </w:r>
      <w:r w:rsidRPr="00DA4655">
        <w:t xml:space="preserve">, and the need for greater support for Preschools.  Assessment and curriculum concerns were not strongly articulated by participants, though the updating of moderation materials was raised along with improved data analysis tools. </w:t>
      </w:r>
    </w:p>
    <w:p w:rsidR="00B14038" w:rsidRPr="00A2363D" w:rsidRDefault="00067393" w:rsidP="00504B61">
      <w:pPr>
        <w:spacing w:before="120" w:after="120"/>
        <w:rPr>
          <w:b/>
        </w:rPr>
      </w:pPr>
      <w:bookmarkStart w:id="129" w:name="_Toc318816215"/>
      <w:bookmarkStart w:id="130" w:name="_Toc318816243"/>
      <w:bookmarkStart w:id="131" w:name="_Toc320010941"/>
      <w:r>
        <w:rPr>
          <w:b/>
        </w:rPr>
        <w:br w:type="page"/>
      </w:r>
      <w:r w:rsidR="00B14038" w:rsidRPr="00A2363D">
        <w:rPr>
          <w:b/>
        </w:rPr>
        <w:t>THE LPR PROCESS AND SUBSEQUENT FUNDING OF STUDENTS</w:t>
      </w:r>
      <w:bookmarkEnd w:id="129"/>
      <w:bookmarkEnd w:id="130"/>
      <w:bookmarkEnd w:id="131"/>
    </w:p>
    <w:p w:rsidR="00B14038" w:rsidRPr="00DA4655" w:rsidRDefault="00B14038" w:rsidP="00C10DDF">
      <w:pPr>
        <w:spacing w:before="120" w:after="120" w:line="240" w:lineRule="auto"/>
      </w:pPr>
      <w:r w:rsidRPr="00DA4655">
        <w:t>Participants identified some benefits/strengths of the current LPR process including:</w:t>
      </w:r>
    </w:p>
    <w:p w:rsidR="00B14038" w:rsidRPr="00DA4655" w:rsidRDefault="00B14038" w:rsidP="008F35EE">
      <w:pPr>
        <w:numPr>
          <w:ilvl w:val="0"/>
          <w:numId w:val="25"/>
        </w:numPr>
        <w:spacing w:before="120" w:after="120" w:line="240" w:lineRule="auto"/>
      </w:pPr>
      <w:r w:rsidRPr="00DA4655">
        <w:t>the LPR process helps EALD teachers identify EALD student needs and is a good base assessment of language skills</w:t>
      </w:r>
    </w:p>
    <w:p w:rsidR="00B14038" w:rsidRPr="00DA4655" w:rsidRDefault="00B14038" w:rsidP="008F35EE">
      <w:pPr>
        <w:numPr>
          <w:ilvl w:val="0"/>
          <w:numId w:val="25"/>
        </w:numPr>
        <w:spacing w:before="120" w:after="120" w:line="240" w:lineRule="auto"/>
      </w:pPr>
      <w:r w:rsidRPr="00DA4655">
        <w:t xml:space="preserve">the process is a system wide and moderated process </w:t>
      </w:r>
    </w:p>
    <w:p w:rsidR="00B14038" w:rsidRPr="00DA4655" w:rsidRDefault="00B14038" w:rsidP="008F35EE">
      <w:pPr>
        <w:numPr>
          <w:ilvl w:val="0"/>
          <w:numId w:val="25"/>
        </w:numPr>
        <w:spacing w:before="120" w:after="120" w:line="240" w:lineRule="auto"/>
      </w:pPr>
      <w:r w:rsidRPr="00DA4655">
        <w:t xml:space="preserve">the LPR process encourages good communication between EALD and mainstream teachers </w:t>
      </w:r>
    </w:p>
    <w:p w:rsidR="00B14038" w:rsidRPr="00DA4655" w:rsidRDefault="00762C36" w:rsidP="008F35EE">
      <w:pPr>
        <w:numPr>
          <w:ilvl w:val="0"/>
          <w:numId w:val="25"/>
        </w:numPr>
        <w:spacing w:before="120" w:after="120" w:line="240" w:lineRule="auto"/>
      </w:pPr>
      <w:r>
        <w:t>LPR</w:t>
      </w:r>
      <w:r w:rsidR="00B14038" w:rsidRPr="00DA4655">
        <w:t xml:space="preserve"> make mainstream teachers more aware of EALD student strengths and weaknesses</w:t>
      </w:r>
    </w:p>
    <w:p w:rsidR="00B14038" w:rsidRPr="00DA4655" w:rsidRDefault="00B14038" w:rsidP="008F35EE">
      <w:pPr>
        <w:numPr>
          <w:ilvl w:val="0"/>
          <w:numId w:val="25"/>
        </w:numPr>
        <w:spacing w:before="120" w:after="120" w:line="240" w:lineRule="auto"/>
      </w:pPr>
      <w:proofErr w:type="gramStart"/>
      <w:r w:rsidRPr="00DA4655">
        <w:t>the</w:t>
      </w:r>
      <w:proofErr w:type="gramEnd"/>
      <w:r w:rsidRPr="00DA4655">
        <w:t xml:space="preserve"> LPR process is generally well understood by </w:t>
      </w:r>
      <w:r w:rsidR="009A4A95" w:rsidRPr="00DA4655">
        <w:t>EALD teachers</w:t>
      </w:r>
      <w:r w:rsidRPr="00DA4655">
        <w:t>.</w:t>
      </w:r>
      <w:r w:rsidR="006464CF">
        <w:br/>
      </w:r>
    </w:p>
    <w:p w:rsidR="00B14038" w:rsidRPr="00DA4655" w:rsidRDefault="00B14038" w:rsidP="00C10DDF">
      <w:pPr>
        <w:spacing w:before="120" w:after="120" w:line="240" w:lineRule="auto"/>
        <w:rPr>
          <w:b/>
        </w:rPr>
      </w:pPr>
      <w:r w:rsidRPr="00DA4655">
        <w:t xml:space="preserve">In analysing the feedback on the concerns about the LPR process and subsequent funding of students the issues raised can be categorised into </w:t>
      </w:r>
      <w:r w:rsidR="0028026D">
        <w:t>three</w:t>
      </w:r>
      <w:r w:rsidR="0028026D" w:rsidRPr="00DA4655">
        <w:t xml:space="preserve"> </w:t>
      </w:r>
      <w:r w:rsidRPr="00DA4655">
        <w:t>main groups:</w:t>
      </w:r>
    </w:p>
    <w:p w:rsidR="00B14038" w:rsidRPr="00DA4655" w:rsidRDefault="00B14038" w:rsidP="008F35EE">
      <w:pPr>
        <w:numPr>
          <w:ilvl w:val="0"/>
          <w:numId w:val="11"/>
        </w:numPr>
        <w:spacing w:before="120" w:after="120" w:line="240" w:lineRule="auto"/>
      </w:pPr>
      <w:r w:rsidRPr="00DA4655">
        <w:t>Funding and Resourcing</w:t>
      </w:r>
      <w:r w:rsidR="00C10DDF">
        <w:t>.</w:t>
      </w:r>
    </w:p>
    <w:p w:rsidR="00B14038" w:rsidRPr="00DA4655" w:rsidRDefault="00C10DDF" w:rsidP="008F35EE">
      <w:pPr>
        <w:numPr>
          <w:ilvl w:val="0"/>
          <w:numId w:val="11"/>
        </w:numPr>
        <w:spacing w:before="120" w:after="120" w:line="240" w:lineRule="auto"/>
      </w:pPr>
      <w:r>
        <w:t>EALD identification/</w:t>
      </w:r>
      <w:r w:rsidR="00B14038" w:rsidRPr="00DA4655">
        <w:t>LPR process</w:t>
      </w:r>
      <w:r>
        <w:t>.</w:t>
      </w:r>
    </w:p>
    <w:p w:rsidR="00B14038" w:rsidRPr="00DA4655" w:rsidRDefault="00B14038" w:rsidP="008F35EE">
      <w:pPr>
        <w:numPr>
          <w:ilvl w:val="0"/>
          <w:numId w:val="11"/>
        </w:numPr>
        <w:spacing w:before="120" w:after="120" w:line="240" w:lineRule="auto"/>
      </w:pPr>
      <w:r w:rsidRPr="00DA4655">
        <w:t>Workload</w:t>
      </w:r>
      <w:r w:rsidR="006464CF">
        <w:t>.</w:t>
      </w:r>
      <w:r w:rsidR="006464CF">
        <w:br/>
      </w:r>
    </w:p>
    <w:p w:rsidR="00B14038" w:rsidRPr="00DA4655" w:rsidRDefault="00B14038" w:rsidP="00C10DDF">
      <w:pPr>
        <w:spacing w:before="120" w:after="120" w:line="240" w:lineRule="auto"/>
      </w:pPr>
      <w:r w:rsidRPr="00DA4655">
        <w:t>Participants clearly identified resourcing for EALD students as the key issue and highlighted the low LPR cut-offs that have applied in recent years.  With regard to the LPR model</w:t>
      </w:r>
      <w:r w:rsidR="006464CF">
        <w:t>,</w:t>
      </w:r>
      <w:r w:rsidRPr="00DA4655">
        <w:t xml:space="preserve"> a range of issues and concerns were raised, though on balance</w:t>
      </w:r>
      <w:r w:rsidR="006464CF">
        <w:t>,</w:t>
      </w:r>
      <w:r w:rsidRPr="00DA4655">
        <w:t xml:space="preserve"> participants did not rank these as highly as others canvassed during the forum.  The issues indentified included:</w:t>
      </w:r>
    </w:p>
    <w:p w:rsidR="00B14038" w:rsidRPr="00DA4655" w:rsidRDefault="00B14038" w:rsidP="008F35EE">
      <w:pPr>
        <w:numPr>
          <w:ilvl w:val="0"/>
          <w:numId w:val="12"/>
        </w:numPr>
        <w:spacing w:before="120" w:after="120" w:line="240" w:lineRule="auto"/>
      </w:pPr>
      <w:r w:rsidRPr="00DA4655">
        <w:t>the need</w:t>
      </w:r>
      <w:r w:rsidR="006464CF">
        <w:t xml:space="preserve"> to update the moderation tests</w:t>
      </w:r>
      <w:r w:rsidRPr="00DA4655">
        <w:t xml:space="preserve">/tasks </w:t>
      </w:r>
    </w:p>
    <w:p w:rsidR="00B14038" w:rsidRPr="00DA4655" w:rsidRDefault="00B14038" w:rsidP="008F35EE">
      <w:pPr>
        <w:numPr>
          <w:ilvl w:val="0"/>
          <w:numId w:val="12"/>
        </w:numPr>
        <w:spacing w:before="120" w:after="120" w:line="240" w:lineRule="auto"/>
      </w:pPr>
      <w:proofErr w:type="gramStart"/>
      <w:r w:rsidRPr="00DA4655">
        <w:t>the</w:t>
      </w:r>
      <w:proofErr w:type="gramEnd"/>
      <w:r w:rsidRPr="00DA4655">
        <w:t xml:space="preserve"> tendency for mainstream teacher</w:t>
      </w:r>
      <w:r w:rsidR="0028026D">
        <w:t>s</w:t>
      </w:r>
      <w:r w:rsidRPr="00DA4655">
        <w:t xml:space="preserve"> to rate EALD students too highly and a lack of consistency in this element of the LPR process.</w:t>
      </w:r>
      <w:r w:rsidR="006464CF">
        <w:br/>
      </w:r>
    </w:p>
    <w:p w:rsidR="00B14038" w:rsidRPr="00DA4655" w:rsidRDefault="00B14038" w:rsidP="00C10DDF">
      <w:pPr>
        <w:spacing w:before="120" w:after="120" w:line="240" w:lineRule="auto"/>
      </w:pPr>
      <w:r w:rsidRPr="00DA4655">
        <w:t>Workload issues are considered to be significant by participants, particularly that for the EALD Executive Officer.  The administration of the LPR process in schools was also considered by some to be of concern.</w:t>
      </w:r>
    </w:p>
    <w:p w:rsidR="00B14038" w:rsidRPr="00DA4655" w:rsidRDefault="00B14038" w:rsidP="00C10DDF">
      <w:pPr>
        <w:spacing w:before="120" w:after="120" w:line="240" w:lineRule="auto"/>
      </w:pPr>
      <w:r w:rsidRPr="00DA4655">
        <w:t xml:space="preserve">In providing feedback on other processes that could be used for funding EALD support, participants were again focussed on the overall level of resources and the need to increase total funds allocated to EALD services.  There is a perception, particularly among EALD teachers that EALD funding has been subsumed into more general Literacy and Numeracy programs. There were no strongly held views on new approaches to the identification of EALD students, though several stakeholder groups suggested that the Directorate investigate processes used in other jurisdictions. </w:t>
      </w:r>
      <w:r w:rsidR="00BF759E">
        <w:br/>
      </w:r>
    </w:p>
    <w:p w:rsidR="00B14038" w:rsidRPr="00A2363D" w:rsidRDefault="00B14038" w:rsidP="00504B61">
      <w:pPr>
        <w:spacing w:before="120" w:after="120"/>
        <w:rPr>
          <w:b/>
        </w:rPr>
      </w:pPr>
      <w:bookmarkStart w:id="132" w:name="_Toc318813933"/>
      <w:bookmarkStart w:id="133" w:name="_Toc318816216"/>
      <w:bookmarkStart w:id="134" w:name="_Toc318816244"/>
      <w:bookmarkStart w:id="135" w:name="_Toc320010942"/>
      <w:r w:rsidRPr="00A2363D">
        <w:rPr>
          <w:b/>
        </w:rPr>
        <w:t>SUPPORT PROFESSIONAL DEVELOPMENT AND DIRECTORATE SUPPORT AVAILABLE TO TEACHERS</w:t>
      </w:r>
      <w:bookmarkEnd w:id="132"/>
      <w:bookmarkEnd w:id="133"/>
      <w:bookmarkEnd w:id="134"/>
      <w:bookmarkEnd w:id="135"/>
    </w:p>
    <w:p w:rsidR="00B14038" w:rsidRPr="00DA4655" w:rsidRDefault="00B14038" w:rsidP="00C10DDF">
      <w:pPr>
        <w:spacing w:before="120" w:after="120" w:line="240" w:lineRule="auto"/>
      </w:pPr>
      <w:r w:rsidRPr="00DA4655">
        <w:t xml:space="preserve">Participants indentified the provision of scholarships and the diverse range of professional learning programs as being the strengths in the support offered by the Directorate to teachers.  The </w:t>
      </w:r>
      <w:proofErr w:type="spellStart"/>
      <w:r w:rsidRPr="00DA4655">
        <w:t>TESMC</w:t>
      </w:r>
      <w:proofErr w:type="spellEnd"/>
      <w:r w:rsidRPr="00DA4655">
        <w:t xml:space="preserve">, </w:t>
      </w:r>
      <w:proofErr w:type="spellStart"/>
      <w:r w:rsidRPr="00DA4655">
        <w:t>ESLMEL</w:t>
      </w:r>
      <w:proofErr w:type="spellEnd"/>
      <w:r w:rsidRPr="00DA4655">
        <w:t xml:space="preserve">, </w:t>
      </w:r>
      <w:proofErr w:type="spellStart"/>
      <w:r w:rsidRPr="00DA4655">
        <w:t>InSinc</w:t>
      </w:r>
      <w:proofErr w:type="spellEnd"/>
      <w:r w:rsidRPr="00DA4655">
        <w:t>, and Tactical Teaching courses are all highly regarded by both EALD teachers and Principals.  EALD teachers also highlighted the value of regular network meetings.  The support provided by EALD Executive Officers was noted by many participants and the new procedural manual and revised EALD policy were seen as positive additions to the support available to teachers.</w:t>
      </w:r>
    </w:p>
    <w:p w:rsidR="00B14038" w:rsidRPr="00DA4655" w:rsidRDefault="00B14038" w:rsidP="00C10DDF">
      <w:pPr>
        <w:spacing w:before="120" w:after="120" w:line="240" w:lineRule="auto"/>
        <w:rPr>
          <w:rStyle w:val="BookTitle"/>
          <w:bCs/>
          <w:smallCaps/>
          <w:sz w:val="24"/>
          <w:szCs w:val="40"/>
        </w:rPr>
      </w:pPr>
      <w:r w:rsidRPr="00DA4655">
        <w:t xml:space="preserve">The issues identified under the professional learning and support areas were broad in nature and difficult to categorise.  Feedback from the forum highlighted that the continued access to relevant professional learning was considered a priority by participants.  The need for </w:t>
      </w:r>
      <w:proofErr w:type="spellStart"/>
      <w:r w:rsidRPr="00DA4655">
        <w:t>upskilling</w:t>
      </w:r>
      <w:proofErr w:type="spellEnd"/>
      <w:r w:rsidRPr="00DA4655">
        <w:t xml:space="preserve"> of mainstream teachers to meet the language learning needs of EALD students was strongly supported, as was professional learning targeted to the specific needs of different schools.  Professional learning focussed on an understanding of language acquisition and clarifying the links between literacy and language teaching were two areas of specific need.   Funding issues were also raised through the suggestion of incentives for mainstream teachers to complete TESMC, as well as increasing the number of EALD Executive Officers.</w:t>
      </w:r>
      <w:bookmarkStart w:id="136" w:name="_Toc318813934"/>
      <w:bookmarkStart w:id="137" w:name="_Toc318816217"/>
      <w:bookmarkStart w:id="138" w:name="_Toc318816245"/>
      <w:bookmarkStart w:id="139" w:name="_Toc320010943"/>
      <w:r w:rsidR="00BF759E">
        <w:br/>
      </w:r>
    </w:p>
    <w:bookmarkEnd w:id="136"/>
    <w:bookmarkEnd w:id="137"/>
    <w:bookmarkEnd w:id="138"/>
    <w:bookmarkEnd w:id="139"/>
    <w:p w:rsidR="00B14038" w:rsidRPr="00FA1949" w:rsidRDefault="00A2363D" w:rsidP="00504B61">
      <w:pPr>
        <w:spacing w:before="120" w:after="120"/>
        <w:rPr>
          <w:rStyle w:val="BookTitle"/>
          <w:smallCaps/>
        </w:rPr>
      </w:pPr>
      <w:r>
        <w:rPr>
          <w:rStyle w:val="BookTitle"/>
        </w:rPr>
        <w:t>SUMMARY OF INDIVIDUAL SUBMISSIONS</w:t>
      </w:r>
    </w:p>
    <w:p w:rsidR="00B14038" w:rsidRPr="00DA4655" w:rsidRDefault="00B14038" w:rsidP="00C10DDF">
      <w:pPr>
        <w:spacing w:before="120" w:after="120" w:line="240" w:lineRule="auto"/>
      </w:pPr>
      <w:r w:rsidRPr="00DA4655">
        <w:t>Individual submissions were not specifically called for, though two were submitted at the Stakeholder Meeting by ATESOL ACT</w:t>
      </w:r>
      <w:r w:rsidRPr="00DA4655">
        <w:rPr>
          <w:vertAlign w:val="superscript"/>
        </w:rPr>
        <w:footnoteReference w:id="14"/>
      </w:r>
      <w:r w:rsidRPr="00DA4655">
        <w:t xml:space="preserve">, the professional association for EALD teachers and from </w:t>
      </w:r>
      <w:proofErr w:type="spellStart"/>
      <w:r w:rsidRPr="00DA4655">
        <w:t>Felicite</w:t>
      </w:r>
      <w:proofErr w:type="spellEnd"/>
      <w:r w:rsidRPr="00DA4655">
        <w:t xml:space="preserve"> Dawson, an Early Childhood Educator.  Both </w:t>
      </w:r>
      <w:proofErr w:type="spellStart"/>
      <w:r w:rsidRPr="00DA4655">
        <w:t>Felicite</w:t>
      </w:r>
      <w:proofErr w:type="spellEnd"/>
      <w:r w:rsidRPr="00DA4655">
        <w:t xml:space="preserve"> Dawson and </w:t>
      </w:r>
      <w:proofErr w:type="spellStart"/>
      <w:r w:rsidRPr="00DA4655">
        <w:t>ATESOL</w:t>
      </w:r>
      <w:proofErr w:type="spellEnd"/>
      <w:r w:rsidRPr="00DA4655">
        <w:t xml:space="preserve"> ACT raised issues regarding the support provided to EALD students in Pre-schools and highlighted the benefits of early intervention.  The ATESOL ACT submission raised several other issues including:</w:t>
      </w:r>
    </w:p>
    <w:p w:rsidR="00B14038" w:rsidRPr="00DA4655" w:rsidRDefault="00B14038" w:rsidP="008F35EE">
      <w:pPr>
        <w:numPr>
          <w:ilvl w:val="0"/>
          <w:numId w:val="13"/>
        </w:numPr>
        <w:spacing w:before="120" w:after="120" w:line="240" w:lineRule="auto"/>
      </w:pPr>
      <w:r w:rsidRPr="00DA4655">
        <w:t>the need for new EALD students in IECs to have more time in IEC programs</w:t>
      </w:r>
    </w:p>
    <w:p w:rsidR="00B14038" w:rsidRPr="00DA4655" w:rsidRDefault="00B14038" w:rsidP="008F35EE">
      <w:pPr>
        <w:numPr>
          <w:ilvl w:val="0"/>
          <w:numId w:val="13"/>
        </w:numPr>
        <w:spacing w:before="120" w:after="120" w:line="240" w:lineRule="auto"/>
      </w:pPr>
      <w:r w:rsidRPr="00DA4655">
        <w:t>the low LPR cut-off and the lack of support for students above the cut-off but below an LPR of 4</w:t>
      </w:r>
    </w:p>
    <w:p w:rsidR="00B14038" w:rsidRPr="00DA4655" w:rsidRDefault="00B14038" w:rsidP="008F35EE">
      <w:pPr>
        <w:numPr>
          <w:ilvl w:val="0"/>
          <w:numId w:val="13"/>
        </w:numPr>
        <w:spacing w:before="120" w:after="120" w:line="240" w:lineRule="auto"/>
      </w:pPr>
      <w:r w:rsidRPr="00DA4655">
        <w:t>a concern that with a move to school based management EALD students will not be properly supported as funds may be directed to literacy and other programs</w:t>
      </w:r>
    </w:p>
    <w:p w:rsidR="00B14038" w:rsidRPr="00DA4655" w:rsidRDefault="00B14038" w:rsidP="008F35EE">
      <w:pPr>
        <w:numPr>
          <w:ilvl w:val="0"/>
          <w:numId w:val="13"/>
        </w:numPr>
        <w:spacing w:before="120" w:after="120" w:line="240" w:lineRule="auto"/>
      </w:pPr>
      <w:r w:rsidRPr="00DA4655">
        <w:t>a concern that EALD specialists in schools will be replaced by literacy coordinators</w:t>
      </w:r>
    </w:p>
    <w:p w:rsidR="00B14038" w:rsidRPr="00DA4655" w:rsidRDefault="00B14038" w:rsidP="008F35EE">
      <w:pPr>
        <w:numPr>
          <w:ilvl w:val="0"/>
          <w:numId w:val="13"/>
        </w:numPr>
        <w:spacing w:before="120" w:after="120" w:line="240" w:lineRule="auto"/>
      </w:pPr>
      <w:proofErr w:type="gramStart"/>
      <w:r w:rsidRPr="00DA4655">
        <w:t>that</w:t>
      </w:r>
      <w:proofErr w:type="gramEnd"/>
      <w:r w:rsidRPr="00DA4655">
        <w:t xml:space="preserve"> the </w:t>
      </w:r>
      <w:proofErr w:type="spellStart"/>
      <w:r w:rsidRPr="00DA4655">
        <w:t>InSinc</w:t>
      </w:r>
      <w:proofErr w:type="spellEnd"/>
      <w:r w:rsidRPr="00DA4655">
        <w:t xml:space="preserve"> program is not EALD specific and should not be considered as a replacement for the previous LUAC</w:t>
      </w:r>
      <w:r w:rsidRPr="00DA4655">
        <w:rPr>
          <w:vertAlign w:val="superscript"/>
        </w:rPr>
        <w:footnoteReference w:id="15"/>
      </w:r>
      <w:r w:rsidRPr="00DA4655">
        <w:t xml:space="preserve"> program.</w:t>
      </w:r>
      <w:r w:rsidR="00C10DDF">
        <w:br/>
      </w:r>
    </w:p>
    <w:p w:rsidR="00B14038" w:rsidRPr="00DA4655" w:rsidRDefault="00B14038" w:rsidP="00C10DDF">
      <w:pPr>
        <w:spacing w:before="120" w:after="120" w:line="240" w:lineRule="auto"/>
      </w:pPr>
      <w:r w:rsidRPr="00DA4655">
        <w:t>A collation of the responses from the Stakeholder meeting was distributed to all participants and to apologies in mid March and a further submission was received from the ACT Council of Parents and Citizens Associations.  This submission reiterated many of the issues canvassed through the stakeholder meeting, including:</w:t>
      </w:r>
    </w:p>
    <w:p w:rsidR="00B14038" w:rsidRPr="00DA4655" w:rsidRDefault="0062570A" w:rsidP="008F35EE">
      <w:pPr>
        <w:numPr>
          <w:ilvl w:val="0"/>
          <w:numId w:val="14"/>
        </w:numPr>
        <w:spacing w:before="120" w:after="120" w:line="240" w:lineRule="auto"/>
      </w:pPr>
      <w:r>
        <w:t>t</w:t>
      </w:r>
      <w:r w:rsidR="00B14038" w:rsidRPr="00DA4655">
        <w:t>he need for additional funds for EALD students</w:t>
      </w:r>
    </w:p>
    <w:p w:rsidR="00B14038" w:rsidRPr="00DA4655" w:rsidRDefault="0062570A" w:rsidP="008F35EE">
      <w:pPr>
        <w:numPr>
          <w:ilvl w:val="0"/>
          <w:numId w:val="14"/>
        </w:numPr>
        <w:spacing w:before="120" w:after="120" w:line="240" w:lineRule="auto"/>
      </w:pPr>
      <w:r>
        <w:t>c</w:t>
      </w:r>
      <w:r w:rsidR="00B14038" w:rsidRPr="00DA4655">
        <w:t>entralised support for mainstream teachers</w:t>
      </w:r>
    </w:p>
    <w:p w:rsidR="00B14038" w:rsidRPr="00DA4655" w:rsidRDefault="0062570A" w:rsidP="008F35EE">
      <w:pPr>
        <w:numPr>
          <w:ilvl w:val="0"/>
          <w:numId w:val="14"/>
        </w:numPr>
        <w:spacing w:before="120" w:after="120" w:line="240" w:lineRule="auto"/>
      </w:pPr>
      <w:r>
        <w:t>i</w:t>
      </w:r>
      <w:r w:rsidR="00B14038" w:rsidRPr="00DA4655">
        <w:t>ncreased provision of EALD training for teachers</w:t>
      </w:r>
    </w:p>
    <w:p w:rsidR="00B14038" w:rsidRPr="00DA4655" w:rsidRDefault="0062570A" w:rsidP="008F35EE">
      <w:pPr>
        <w:numPr>
          <w:ilvl w:val="0"/>
          <w:numId w:val="14"/>
        </w:numPr>
        <w:spacing w:before="120" w:after="120" w:line="240" w:lineRule="auto"/>
      </w:pPr>
      <w:r>
        <w:t>g</w:t>
      </w:r>
      <w:r w:rsidR="00B14038" w:rsidRPr="00DA4655">
        <w:t>reater clarity in provision and spending of funds</w:t>
      </w:r>
    </w:p>
    <w:p w:rsidR="00B14038" w:rsidRPr="00DA4655" w:rsidRDefault="0062570A" w:rsidP="008F35EE">
      <w:pPr>
        <w:numPr>
          <w:ilvl w:val="0"/>
          <w:numId w:val="14"/>
        </w:numPr>
        <w:spacing w:before="120" w:after="120" w:line="240" w:lineRule="auto"/>
      </w:pPr>
      <w:proofErr w:type="gramStart"/>
      <w:r>
        <w:t>t</w:t>
      </w:r>
      <w:r w:rsidR="00B14038" w:rsidRPr="00DA4655">
        <w:t>reating</w:t>
      </w:r>
      <w:proofErr w:type="gramEnd"/>
      <w:r w:rsidR="00B14038" w:rsidRPr="00DA4655">
        <w:t xml:space="preserve"> EALD as an individual area and not as a subset of literacy and numeracy.</w:t>
      </w:r>
    </w:p>
    <w:p w:rsidR="00C07BC5" w:rsidRPr="00DA4655" w:rsidRDefault="00C07BC5" w:rsidP="00504B61">
      <w:pPr>
        <w:spacing w:before="120" w:after="120"/>
        <w:rPr>
          <w:rFonts w:cs="Calibri"/>
          <w:b/>
          <w:sz w:val="28"/>
        </w:rPr>
      </w:pPr>
    </w:p>
    <w:p w:rsidR="00D63C04" w:rsidRDefault="00D63C04" w:rsidP="00504B61">
      <w:pPr>
        <w:spacing w:before="120" w:after="120"/>
        <w:rPr>
          <w:b/>
          <w:lang w:val="en-US"/>
        </w:rPr>
      </w:pPr>
    </w:p>
    <w:p w:rsidR="00D63C04" w:rsidRDefault="00D63C04" w:rsidP="00504B61">
      <w:pPr>
        <w:spacing w:before="120" w:after="120"/>
        <w:rPr>
          <w:b/>
          <w:lang w:val="en-US"/>
        </w:rPr>
      </w:pPr>
    </w:p>
    <w:p w:rsidR="00723DC0" w:rsidRPr="005A5C9A" w:rsidRDefault="0030553F" w:rsidP="00C13B7C">
      <w:pPr>
        <w:pStyle w:val="Heading2"/>
      </w:pPr>
      <w:r>
        <w:br w:type="page"/>
      </w:r>
      <w:bookmarkStart w:id="140" w:name="_Toc322083135"/>
      <w:r w:rsidR="004C05A4" w:rsidRPr="005A5C9A">
        <w:t>Appendix 5</w:t>
      </w:r>
      <w:r w:rsidR="00723DC0" w:rsidRPr="005A5C9A">
        <w:t xml:space="preserve"> </w:t>
      </w:r>
      <w:r w:rsidR="00723DC0" w:rsidRPr="005A5C9A">
        <w:tab/>
        <w:t>Language Performance Rating Assessment process</w:t>
      </w:r>
      <w:bookmarkEnd w:id="140"/>
    </w:p>
    <w:p w:rsidR="00C07BC5" w:rsidRDefault="00C07BC5" w:rsidP="00504B61">
      <w:pPr>
        <w:spacing w:before="120" w:after="120"/>
        <w:rPr>
          <w:b/>
          <w:lang w:val="en-US"/>
        </w:rPr>
      </w:pPr>
    </w:p>
    <w:p w:rsidR="00C07BC5" w:rsidRPr="0030553F" w:rsidRDefault="00C07BC5" w:rsidP="00504B61">
      <w:pPr>
        <w:spacing w:before="120" w:after="120"/>
        <w:rPr>
          <w:b/>
          <w:sz w:val="24"/>
          <w:szCs w:val="24"/>
          <w:lang w:val="en-US"/>
        </w:rPr>
      </w:pPr>
      <w:r>
        <w:rPr>
          <w:b/>
          <w:lang w:val="en-US"/>
        </w:rPr>
        <w:br w:type="page"/>
      </w:r>
      <w:r w:rsidRPr="0030553F">
        <w:rPr>
          <w:b/>
          <w:sz w:val="24"/>
          <w:szCs w:val="24"/>
          <w:lang w:val="en-US"/>
        </w:rPr>
        <w:t xml:space="preserve">Appendix 5 </w:t>
      </w:r>
      <w:r w:rsidRPr="0030553F">
        <w:rPr>
          <w:b/>
          <w:sz w:val="24"/>
          <w:szCs w:val="24"/>
          <w:lang w:val="en-US"/>
        </w:rPr>
        <w:tab/>
        <w:t xml:space="preserve">Language Performance Rating Assessment process   </w:t>
      </w:r>
    </w:p>
    <w:p w:rsidR="00723DC0" w:rsidRPr="003E71F5" w:rsidRDefault="003E71F5" w:rsidP="00504B61">
      <w:pPr>
        <w:spacing w:before="120" w:after="120"/>
        <w:rPr>
          <w:rFonts w:cs="Calibri"/>
          <w:b/>
          <w:szCs w:val="24"/>
        </w:rPr>
      </w:pPr>
      <w:r w:rsidRPr="003E71F5">
        <w:rPr>
          <w:b/>
          <w:lang w:val="en-US"/>
        </w:rPr>
        <w:t>Language</w:t>
      </w:r>
      <w:r>
        <w:rPr>
          <w:b/>
          <w:lang w:val="en-US"/>
        </w:rPr>
        <w:t xml:space="preserve"> Performance Rating Assessment P</w:t>
      </w:r>
      <w:r w:rsidRPr="003E71F5">
        <w:rPr>
          <w:b/>
          <w:lang w:val="en-US"/>
        </w:rPr>
        <w:t xml:space="preserve">rocess   </w:t>
      </w:r>
    </w:p>
    <w:p w:rsidR="00F53002" w:rsidRDefault="00723DC0" w:rsidP="003E5D09">
      <w:pPr>
        <w:spacing w:before="120" w:after="120" w:line="240" w:lineRule="auto"/>
        <w:rPr>
          <w:rFonts w:cs="Calibri"/>
          <w:szCs w:val="24"/>
        </w:rPr>
      </w:pPr>
      <w:r w:rsidRPr="00DA4655">
        <w:rPr>
          <w:rFonts w:cs="Calibri"/>
          <w:szCs w:val="24"/>
        </w:rPr>
        <w:t>The Language Performance Ratings (LPR) for each EALD student is determined through a collaborative assessment process involving classroom teachers and</w:t>
      </w:r>
      <w:r w:rsidR="00F53002">
        <w:rPr>
          <w:rFonts w:cs="Calibri"/>
          <w:szCs w:val="24"/>
        </w:rPr>
        <w:t xml:space="preserve"> the</w:t>
      </w:r>
      <w:r w:rsidRPr="00DA4655">
        <w:rPr>
          <w:rFonts w:cs="Calibri"/>
          <w:szCs w:val="24"/>
        </w:rPr>
        <w:t xml:space="preserve"> EALD teacher.  The EALD teacher’s Language Performance Ratings are based on student performance in a set </w:t>
      </w:r>
      <w:r w:rsidR="00F53002">
        <w:rPr>
          <w:rFonts w:cs="Calibri"/>
          <w:szCs w:val="24"/>
        </w:rPr>
        <w:t xml:space="preserve">of </w:t>
      </w:r>
      <w:r w:rsidRPr="00DA4655">
        <w:rPr>
          <w:rFonts w:cs="Calibri"/>
          <w:szCs w:val="24"/>
        </w:rPr>
        <w:t>speaking, listening, reading and writing moderation tasks which are administered during Term 2.</w:t>
      </w:r>
    </w:p>
    <w:p w:rsidR="00723DC0" w:rsidRPr="00DA4655" w:rsidRDefault="00723DC0" w:rsidP="003E5D09">
      <w:pPr>
        <w:spacing w:before="120" w:after="120" w:line="240" w:lineRule="auto"/>
        <w:rPr>
          <w:rFonts w:cs="Calibri"/>
          <w:szCs w:val="24"/>
        </w:rPr>
      </w:pPr>
      <w:r w:rsidRPr="00DA4655">
        <w:rPr>
          <w:rFonts w:cs="Calibri"/>
          <w:szCs w:val="24"/>
        </w:rPr>
        <w:t>Moderation is a procedure that uses a set of common tasks for assessing EALD students’ English language proficiency in order to allocate Language Performance Ratings accurately.  The moderation process is used to:</w:t>
      </w:r>
    </w:p>
    <w:p w:rsidR="00723DC0" w:rsidRPr="00DA4655" w:rsidRDefault="00723DC0" w:rsidP="008F35EE">
      <w:pPr>
        <w:numPr>
          <w:ilvl w:val="0"/>
          <w:numId w:val="23"/>
        </w:numPr>
        <w:spacing w:before="120" w:after="120" w:line="240" w:lineRule="auto"/>
        <w:rPr>
          <w:rFonts w:cs="Calibri"/>
        </w:rPr>
      </w:pPr>
      <w:r w:rsidRPr="00DA4655">
        <w:rPr>
          <w:rFonts w:cs="Calibri"/>
        </w:rPr>
        <w:t xml:space="preserve">rate student ability at the same standard across schools </w:t>
      </w:r>
    </w:p>
    <w:p w:rsidR="00723DC0" w:rsidRPr="00DA4655" w:rsidRDefault="00723DC0" w:rsidP="008F35EE">
      <w:pPr>
        <w:numPr>
          <w:ilvl w:val="0"/>
          <w:numId w:val="23"/>
        </w:numPr>
        <w:spacing w:before="120" w:after="120" w:line="240" w:lineRule="auto"/>
        <w:rPr>
          <w:rFonts w:cs="Calibri"/>
        </w:rPr>
      </w:pPr>
      <w:r w:rsidRPr="00DA4655">
        <w:rPr>
          <w:rFonts w:cs="Calibri"/>
        </w:rPr>
        <w:t xml:space="preserve">provide EALD resources to support students with the greatest need </w:t>
      </w:r>
    </w:p>
    <w:p w:rsidR="00723DC0" w:rsidRPr="00DA4655" w:rsidRDefault="00723DC0" w:rsidP="008F35EE">
      <w:pPr>
        <w:numPr>
          <w:ilvl w:val="0"/>
          <w:numId w:val="23"/>
        </w:numPr>
        <w:spacing w:before="120" w:after="120" w:line="240" w:lineRule="auto"/>
        <w:rPr>
          <w:rFonts w:cs="Calibri"/>
        </w:rPr>
      </w:pPr>
      <w:proofErr w:type="gramStart"/>
      <w:r w:rsidRPr="00DA4655">
        <w:rPr>
          <w:rFonts w:cs="Calibri"/>
        </w:rPr>
        <w:t>provide</w:t>
      </w:r>
      <w:proofErr w:type="gramEnd"/>
      <w:r w:rsidRPr="00DA4655">
        <w:rPr>
          <w:rFonts w:cs="Calibri"/>
        </w:rPr>
        <w:t xml:space="preserve"> diagnostic information for learning and teaching.</w:t>
      </w:r>
    </w:p>
    <w:p w:rsidR="00723DC0" w:rsidRPr="00DA4655" w:rsidRDefault="00723DC0" w:rsidP="003E5D09">
      <w:pPr>
        <w:spacing w:before="120" w:after="120" w:line="240" w:lineRule="auto"/>
        <w:rPr>
          <w:rFonts w:cs="Calibri"/>
        </w:rPr>
      </w:pPr>
      <w:r w:rsidRPr="00DA4655">
        <w:rPr>
          <w:rFonts w:cs="Calibri"/>
        </w:rPr>
        <w:t xml:space="preserve">The moderation tasks are marked using the prescribed marking guides and each task is assigned an LPR.  </w:t>
      </w:r>
    </w:p>
    <w:p w:rsidR="00723DC0" w:rsidRPr="00DA4655" w:rsidRDefault="00723DC0" w:rsidP="003E5D09">
      <w:pPr>
        <w:spacing w:before="120" w:after="120" w:line="240" w:lineRule="auto"/>
        <w:rPr>
          <w:rFonts w:cs="Calibri"/>
          <w:bCs/>
        </w:rPr>
      </w:pPr>
      <w:r w:rsidRPr="00DA4655">
        <w:rPr>
          <w:rFonts w:cs="Calibri"/>
          <w:bCs/>
        </w:rPr>
        <w:t xml:space="preserve">The EALD student’s classroom teacher in a primary school or two subject teachers in a high school or college allocates </w:t>
      </w:r>
      <w:r w:rsidR="00762C36">
        <w:rPr>
          <w:rFonts w:cs="Calibri"/>
          <w:bCs/>
        </w:rPr>
        <w:t>LPR</w:t>
      </w:r>
      <w:r w:rsidRPr="00DA4655">
        <w:rPr>
          <w:rFonts w:cs="Calibri"/>
          <w:bCs/>
        </w:rPr>
        <w:t xml:space="preserve"> for eligible EALD students using the </w:t>
      </w:r>
      <w:r w:rsidRPr="00DA4655">
        <w:rPr>
          <w:rFonts w:cs="Calibri"/>
          <w:bCs/>
          <w:i/>
        </w:rPr>
        <w:t xml:space="preserve">Classroom Teacher’s Rating Form.  </w:t>
      </w:r>
      <w:r w:rsidRPr="00DA4655">
        <w:rPr>
          <w:rFonts w:cs="Calibri"/>
          <w:bCs/>
        </w:rPr>
        <w:t>The</w:t>
      </w:r>
      <w:r w:rsidRPr="00DA4655">
        <w:rPr>
          <w:rFonts w:cs="Calibri"/>
          <w:bCs/>
          <w:i/>
        </w:rPr>
        <w:t xml:space="preserve"> </w:t>
      </w:r>
      <w:r w:rsidRPr="00DA4655">
        <w:rPr>
          <w:rFonts w:cs="Calibri"/>
          <w:bCs/>
        </w:rPr>
        <w:t>completed form is returned to the EALD teacher who enters the scores into the EALD section of MAZE.</w:t>
      </w:r>
    </w:p>
    <w:p w:rsidR="00723DC0" w:rsidRPr="00DA4655" w:rsidRDefault="00723DC0" w:rsidP="003E5D09">
      <w:pPr>
        <w:spacing w:before="120" w:after="120" w:line="240" w:lineRule="auto"/>
        <w:rPr>
          <w:rFonts w:cs="Calibri"/>
        </w:rPr>
      </w:pPr>
      <w:r w:rsidRPr="00DA4655">
        <w:rPr>
          <w:rFonts w:cs="Calibri"/>
          <w:lang w:val="en-GB"/>
        </w:rPr>
        <w:t xml:space="preserve">Classroom teachers allocate </w:t>
      </w:r>
      <w:r w:rsidR="00762C36">
        <w:rPr>
          <w:rFonts w:cs="Calibri"/>
          <w:lang w:val="en-GB"/>
        </w:rPr>
        <w:t>LPR</w:t>
      </w:r>
      <w:r w:rsidRPr="00DA4655">
        <w:rPr>
          <w:rFonts w:cs="Calibri"/>
          <w:lang w:val="en-GB"/>
        </w:rPr>
        <w:t xml:space="preserve"> based on student’s overall performance and from the four </w:t>
      </w:r>
      <w:r w:rsidRPr="00DA4655">
        <w:rPr>
          <w:rFonts w:cs="Calibri"/>
        </w:rPr>
        <w:t>language modes used in the classroom:</w:t>
      </w:r>
    </w:p>
    <w:p w:rsidR="00723DC0" w:rsidRPr="00DA4655" w:rsidRDefault="00723DC0" w:rsidP="008F35EE">
      <w:pPr>
        <w:numPr>
          <w:ilvl w:val="0"/>
          <w:numId w:val="24"/>
        </w:numPr>
        <w:spacing w:before="120" w:after="120" w:line="240" w:lineRule="auto"/>
        <w:rPr>
          <w:rFonts w:cs="Calibri"/>
        </w:rPr>
      </w:pPr>
      <w:r w:rsidRPr="00DA4655">
        <w:rPr>
          <w:rFonts w:cs="Calibri"/>
        </w:rPr>
        <w:t>Listening with Understanding</w:t>
      </w:r>
    </w:p>
    <w:p w:rsidR="00723DC0" w:rsidRPr="00DA4655" w:rsidRDefault="00723DC0" w:rsidP="008F35EE">
      <w:pPr>
        <w:numPr>
          <w:ilvl w:val="0"/>
          <w:numId w:val="24"/>
        </w:numPr>
        <w:spacing w:before="120" w:after="120" w:line="240" w:lineRule="auto"/>
        <w:rPr>
          <w:rFonts w:cs="Calibri"/>
        </w:rPr>
      </w:pPr>
      <w:r w:rsidRPr="00DA4655">
        <w:rPr>
          <w:rFonts w:cs="Calibri"/>
        </w:rPr>
        <w:t>Speaking</w:t>
      </w:r>
    </w:p>
    <w:p w:rsidR="00723DC0" w:rsidRPr="00DA4655" w:rsidRDefault="00723DC0" w:rsidP="008F35EE">
      <w:pPr>
        <w:numPr>
          <w:ilvl w:val="0"/>
          <w:numId w:val="24"/>
        </w:numPr>
        <w:spacing w:before="120" w:after="120" w:line="240" w:lineRule="auto"/>
        <w:rPr>
          <w:rFonts w:cs="Calibri"/>
        </w:rPr>
      </w:pPr>
      <w:r w:rsidRPr="00DA4655">
        <w:rPr>
          <w:rFonts w:cs="Calibri"/>
        </w:rPr>
        <w:t>Reading with Understanding</w:t>
      </w:r>
    </w:p>
    <w:p w:rsidR="00723DC0" w:rsidRPr="00DA4655" w:rsidRDefault="00723DC0" w:rsidP="008F35EE">
      <w:pPr>
        <w:numPr>
          <w:ilvl w:val="0"/>
          <w:numId w:val="24"/>
        </w:numPr>
        <w:spacing w:before="120" w:after="120" w:line="240" w:lineRule="auto"/>
        <w:rPr>
          <w:rFonts w:cs="Calibri"/>
        </w:rPr>
      </w:pPr>
      <w:r w:rsidRPr="00DA4655">
        <w:rPr>
          <w:rFonts w:cs="Calibri"/>
        </w:rPr>
        <w:t>Writing</w:t>
      </w:r>
      <w:r w:rsidR="009C2A40">
        <w:rPr>
          <w:rFonts w:cs="Calibri"/>
        </w:rPr>
        <w:br/>
      </w:r>
    </w:p>
    <w:p w:rsidR="00723DC0" w:rsidRPr="00DA4655" w:rsidRDefault="00723DC0" w:rsidP="003E5D09">
      <w:pPr>
        <w:spacing w:before="120" w:after="120" w:line="240" w:lineRule="auto"/>
        <w:rPr>
          <w:rFonts w:cs="Calibri"/>
        </w:rPr>
      </w:pPr>
      <w:r w:rsidRPr="00DA4655">
        <w:rPr>
          <w:rFonts w:cs="Calibri"/>
          <w:lang w:val="en-GB"/>
        </w:rPr>
        <w:t>The final LPR is an average from a set of eight ratings in the primary sector and 12 ratings in the secondary sector.   It is this average LPR that is used in the EALD Census to determine the level of staffing support.</w:t>
      </w:r>
    </w:p>
    <w:p w:rsidR="00723DC0" w:rsidRPr="00DA4655" w:rsidRDefault="00723DC0" w:rsidP="003E5D09">
      <w:pPr>
        <w:spacing w:before="120" w:after="120" w:line="240" w:lineRule="auto"/>
      </w:pPr>
      <w:r w:rsidRPr="00DA4655">
        <w:t>The current LPR process uses literacy based assessment tasks to differentiate the language performance of the EALD students against an average English speaker for age and year level, but does not demonstrate the actual stages of English language acquisition. It requires teachers to have a deep understanding of what an average English speaker does.</w:t>
      </w:r>
    </w:p>
    <w:p w:rsidR="00FD3D3F" w:rsidRPr="00DA4655" w:rsidRDefault="00FD3D3F" w:rsidP="003E5D09">
      <w:pPr>
        <w:spacing w:before="120" w:after="120" w:line="240" w:lineRule="auto"/>
        <w:rPr>
          <w:b/>
          <w:i/>
        </w:rPr>
      </w:pPr>
    </w:p>
    <w:p w:rsidR="00723DC0" w:rsidRPr="00DA4655" w:rsidRDefault="00723DC0" w:rsidP="00504B61">
      <w:pPr>
        <w:spacing w:before="120" w:after="120"/>
        <w:rPr>
          <w:b/>
          <w:i/>
        </w:rPr>
      </w:pPr>
    </w:p>
    <w:p w:rsidR="00723DC0" w:rsidRPr="00DA4655" w:rsidRDefault="00723DC0" w:rsidP="00504B61">
      <w:pPr>
        <w:spacing w:before="120" w:after="120"/>
        <w:rPr>
          <w:b/>
          <w:i/>
        </w:rPr>
      </w:pPr>
    </w:p>
    <w:p w:rsidR="00D63C04" w:rsidRDefault="00D63C04" w:rsidP="00504B61">
      <w:pPr>
        <w:spacing w:before="120" w:after="120"/>
        <w:rPr>
          <w:b/>
          <w:i/>
        </w:rPr>
      </w:pPr>
    </w:p>
    <w:p w:rsidR="00D63C04" w:rsidRDefault="00D63C04" w:rsidP="00504B61">
      <w:pPr>
        <w:spacing w:before="120" w:after="120"/>
        <w:rPr>
          <w:b/>
          <w:i/>
        </w:rPr>
      </w:pPr>
    </w:p>
    <w:p w:rsidR="00D63C04" w:rsidRPr="00D63C04" w:rsidRDefault="00D63C04" w:rsidP="00504B61">
      <w:pPr>
        <w:spacing w:before="120" w:after="120"/>
        <w:rPr>
          <w:b/>
        </w:rPr>
      </w:pPr>
    </w:p>
    <w:p w:rsidR="00B17CB5" w:rsidRPr="00DA4655" w:rsidRDefault="00B17CB5" w:rsidP="00504B61">
      <w:pPr>
        <w:spacing w:before="120" w:after="120"/>
        <w:rPr>
          <w:b/>
          <w:i/>
        </w:rPr>
        <w:sectPr w:rsidR="00B17CB5" w:rsidRPr="00DA4655" w:rsidSect="00B90BC2">
          <w:footerReference w:type="default" r:id="rId11"/>
          <w:pgSz w:w="11906" w:h="16838" w:code="9"/>
          <w:pgMar w:top="1559" w:right="992" w:bottom="1276" w:left="1440" w:header="170" w:footer="0" w:gutter="0"/>
          <w:cols w:space="708"/>
          <w:docGrid w:linePitch="360"/>
        </w:sectPr>
      </w:pPr>
    </w:p>
    <w:p w:rsidR="004A3EB0" w:rsidRPr="00DA4655" w:rsidRDefault="004A3EB0" w:rsidP="00067393">
      <w:pPr>
        <w:spacing w:before="120" w:after="120"/>
        <w:rPr>
          <w:b/>
          <w:i/>
        </w:rPr>
      </w:pPr>
    </w:p>
    <w:sectPr w:rsidR="004A3EB0" w:rsidRPr="00DA4655" w:rsidSect="007C4CA0">
      <w:type w:val="continuous"/>
      <w:pgSz w:w="11906" w:h="16838" w:code="9"/>
      <w:pgMar w:top="1559" w:right="1276" w:bottom="567" w:left="1276"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E95" w:rsidRDefault="00984E95" w:rsidP="00EB0A77">
      <w:pPr>
        <w:spacing w:after="0" w:line="240" w:lineRule="auto"/>
      </w:pPr>
      <w:r>
        <w:separator/>
      </w:r>
    </w:p>
    <w:p w:rsidR="00984E95" w:rsidRDefault="00984E95"/>
  </w:endnote>
  <w:endnote w:type="continuationSeparator" w:id="0">
    <w:p w:rsidR="00984E95" w:rsidRDefault="00984E95" w:rsidP="00EB0A77">
      <w:pPr>
        <w:spacing w:after="0" w:line="240" w:lineRule="auto"/>
      </w:pPr>
      <w:r>
        <w:continuationSeparator/>
      </w:r>
    </w:p>
    <w:p w:rsidR="00984E95" w:rsidRDefault="00984E9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LightCondense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47" w:rsidRPr="00401313" w:rsidRDefault="002A7D49">
    <w:pPr>
      <w:pStyle w:val="Footer"/>
      <w:jc w:val="center"/>
      <w:rPr>
        <w:sz w:val="18"/>
        <w:szCs w:val="18"/>
      </w:rPr>
    </w:pPr>
    <w:r w:rsidRPr="00401313">
      <w:rPr>
        <w:sz w:val="18"/>
        <w:szCs w:val="18"/>
      </w:rPr>
      <w:fldChar w:fldCharType="begin"/>
    </w:r>
    <w:r w:rsidR="00C16B47" w:rsidRPr="00401313">
      <w:rPr>
        <w:sz w:val="18"/>
        <w:szCs w:val="18"/>
      </w:rPr>
      <w:instrText xml:space="preserve"> PAGE   \* MERGEFORMAT </w:instrText>
    </w:r>
    <w:r w:rsidRPr="00401313">
      <w:rPr>
        <w:sz w:val="18"/>
        <w:szCs w:val="18"/>
      </w:rPr>
      <w:fldChar w:fldCharType="separate"/>
    </w:r>
    <w:r w:rsidR="00D917A6">
      <w:rPr>
        <w:noProof/>
        <w:sz w:val="18"/>
        <w:szCs w:val="18"/>
      </w:rPr>
      <w:t>2</w:t>
    </w:r>
    <w:r w:rsidRPr="00401313">
      <w:rPr>
        <w:sz w:val="18"/>
        <w:szCs w:val="18"/>
      </w:rPr>
      <w:fldChar w:fldCharType="end"/>
    </w:r>
  </w:p>
  <w:p w:rsidR="00C16B47" w:rsidRPr="00D4518E" w:rsidRDefault="00C16B47">
    <w:pPr>
      <w:pStyle w:val="Footer"/>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47" w:rsidRPr="00A94F8F" w:rsidRDefault="002A7D49">
    <w:pPr>
      <w:pStyle w:val="Footer"/>
      <w:jc w:val="center"/>
      <w:rPr>
        <w:sz w:val="18"/>
        <w:szCs w:val="18"/>
      </w:rPr>
    </w:pPr>
    <w:r w:rsidRPr="00A94F8F">
      <w:rPr>
        <w:sz w:val="18"/>
        <w:szCs w:val="18"/>
      </w:rPr>
      <w:fldChar w:fldCharType="begin"/>
    </w:r>
    <w:r w:rsidR="00C16B47" w:rsidRPr="00A94F8F">
      <w:rPr>
        <w:sz w:val="18"/>
        <w:szCs w:val="18"/>
      </w:rPr>
      <w:instrText xml:space="preserve"> PAGE   \* MERGEFORMAT </w:instrText>
    </w:r>
    <w:r w:rsidRPr="00A94F8F">
      <w:rPr>
        <w:sz w:val="18"/>
        <w:szCs w:val="18"/>
      </w:rPr>
      <w:fldChar w:fldCharType="separate"/>
    </w:r>
    <w:r w:rsidR="00D917A6">
      <w:rPr>
        <w:noProof/>
        <w:sz w:val="18"/>
        <w:szCs w:val="18"/>
      </w:rPr>
      <w:t>36</w:t>
    </w:r>
    <w:r w:rsidRPr="00A94F8F">
      <w:rPr>
        <w:sz w:val="18"/>
        <w:szCs w:val="18"/>
      </w:rPr>
      <w:fldChar w:fldCharType="end"/>
    </w:r>
  </w:p>
  <w:p w:rsidR="00C16B47" w:rsidRDefault="00C16B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47" w:rsidRPr="00A94F8F" w:rsidRDefault="002A7D49">
    <w:pPr>
      <w:pStyle w:val="Footer"/>
      <w:jc w:val="center"/>
      <w:rPr>
        <w:sz w:val="18"/>
        <w:szCs w:val="18"/>
      </w:rPr>
    </w:pPr>
    <w:r w:rsidRPr="00A94F8F">
      <w:rPr>
        <w:sz w:val="18"/>
        <w:szCs w:val="18"/>
      </w:rPr>
      <w:fldChar w:fldCharType="begin"/>
    </w:r>
    <w:r w:rsidR="00C16B47" w:rsidRPr="00A94F8F">
      <w:rPr>
        <w:sz w:val="18"/>
        <w:szCs w:val="18"/>
      </w:rPr>
      <w:instrText xml:space="preserve"> PAGE   \* MERGEFORMAT </w:instrText>
    </w:r>
    <w:r w:rsidRPr="00A94F8F">
      <w:rPr>
        <w:sz w:val="18"/>
        <w:szCs w:val="18"/>
      </w:rPr>
      <w:fldChar w:fldCharType="separate"/>
    </w:r>
    <w:r w:rsidR="00D917A6">
      <w:rPr>
        <w:noProof/>
        <w:sz w:val="18"/>
        <w:szCs w:val="18"/>
      </w:rPr>
      <w:t>50</w:t>
    </w:r>
    <w:r w:rsidRPr="00A94F8F">
      <w:rPr>
        <w:sz w:val="18"/>
        <w:szCs w:val="18"/>
      </w:rPr>
      <w:fldChar w:fldCharType="end"/>
    </w:r>
  </w:p>
  <w:p w:rsidR="00C16B47" w:rsidRDefault="00C16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E95" w:rsidRDefault="00984E95" w:rsidP="00EB0A77">
      <w:pPr>
        <w:spacing w:after="0" w:line="240" w:lineRule="auto"/>
      </w:pPr>
      <w:r>
        <w:separator/>
      </w:r>
    </w:p>
    <w:p w:rsidR="00984E95" w:rsidRDefault="00984E95"/>
  </w:footnote>
  <w:footnote w:type="continuationSeparator" w:id="0">
    <w:p w:rsidR="00984E95" w:rsidRDefault="00984E95" w:rsidP="00EB0A77">
      <w:pPr>
        <w:spacing w:after="0" w:line="240" w:lineRule="auto"/>
      </w:pPr>
      <w:r>
        <w:continuationSeparator/>
      </w:r>
    </w:p>
    <w:p w:rsidR="00984E95" w:rsidRDefault="00984E95"/>
  </w:footnote>
  <w:footnote w:id="1">
    <w:p w:rsidR="00C16B47" w:rsidRDefault="00C16B47">
      <w:pPr>
        <w:pStyle w:val="FootnoteText"/>
      </w:pPr>
      <w:r>
        <w:rPr>
          <w:rStyle w:val="FootnoteReference"/>
        </w:rPr>
        <w:footnoteRef/>
      </w:r>
      <w:r>
        <w:t xml:space="preserve"> Australian Education, Early Childhood Development and Youth Affairs Senior Officials Committee provides policy advice to SCSEEC (Standing Council on School Education and Early Childhood)</w:t>
      </w:r>
    </w:p>
  </w:footnote>
  <w:footnote w:id="2">
    <w:p w:rsidR="00C16B47" w:rsidRDefault="00C16B47">
      <w:pPr>
        <w:pStyle w:val="FootnoteText"/>
      </w:pPr>
      <w:r>
        <w:rPr>
          <w:rStyle w:val="FootnoteReference"/>
        </w:rPr>
        <w:footnoteRef/>
      </w:r>
      <w:r>
        <w:t xml:space="preserve"> Australian Curriculum, Assessment and Reporting Authority</w:t>
      </w:r>
    </w:p>
  </w:footnote>
  <w:footnote w:id="3">
    <w:p w:rsidR="00C16B47" w:rsidRDefault="00C16B47" w:rsidP="00511D82">
      <w:pPr>
        <w:pStyle w:val="FootnoteText"/>
      </w:pPr>
      <w:r>
        <w:rPr>
          <w:rStyle w:val="FootnoteReference"/>
        </w:rPr>
        <w:footnoteRef/>
      </w:r>
      <w:r>
        <w:t xml:space="preserve"> </w:t>
      </w:r>
      <w:r>
        <w:rPr>
          <w:i/>
          <w:iCs/>
        </w:rPr>
        <w:t>Legislative Assembly for the ACT: 2011 Week 14 Hansard (7 December)</w:t>
      </w:r>
    </w:p>
  </w:footnote>
  <w:footnote w:id="4">
    <w:p w:rsidR="00C16B47" w:rsidRDefault="00C16B47">
      <w:pPr>
        <w:pStyle w:val="FootnoteText"/>
      </w:pPr>
      <w:r>
        <w:rPr>
          <w:rStyle w:val="FootnoteReference"/>
        </w:rPr>
        <w:footnoteRef/>
      </w:r>
      <w:r>
        <w:t xml:space="preserve"> ACT Education and Training Directorate (2011), </w:t>
      </w:r>
      <w:r w:rsidRPr="00DB27D5">
        <w:rPr>
          <w:i/>
        </w:rPr>
        <w:t>English as an Additional Language or Dialect Policy 2011</w:t>
      </w:r>
    </w:p>
  </w:footnote>
  <w:footnote w:id="5">
    <w:p w:rsidR="00C16B47" w:rsidRDefault="00C16B47">
      <w:pPr>
        <w:pStyle w:val="FootnoteText"/>
      </w:pPr>
      <w:r>
        <w:rPr>
          <w:rStyle w:val="FootnoteReference"/>
        </w:rPr>
        <w:footnoteRef/>
      </w:r>
      <w:r>
        <w:t xml:space="preserve"> ACT Department of Education and Training (2010) </w:t>
      </w:r>
      <w:r w:rsidRPr="00DB27D5">
        <w:rPr>
          <w:i/>
        </w:rPr>
        <w:t>Everyone Matters – Education and Training Directorate Strategic Pan 2010-2013</w:t>
      </w:r>
    </w:p>
  </w:footnote>
  <w:footnote w:id="6">
    <w:p w:rsidR="00C16B47" w:rsidRDefault="00C16B47" w:rsidP="008956FE">
      <w:pPr>
        <w:pStyle w:val="FootnoteText"/>
      </w:pPr>
      <w:r>
        <w:rPr>
          <w:rStyle w:val="FootnoteReference"/>
        </w:rPr>
        <w:footnoteRef/>
      </w:r>
      <w:r>
        <w:t xml:space="preserve"> ACT Department of Education and Training, (2009) </w:t>
      </w:r>
      <w:r w:rsidRPr="00DF3A6E">
        <w:rPr>
          <w:i/>
        </w:rPr>
        <w:t>Literacy and Numeracy Strategy 2009-2013</w:t>
      </w:r>
      <w:r>
        <w:rPr>
          <w:i/>
        </w:rPr>
        <w:t>,</w:t>
      </w:r>
      <w:r>
        <w:t xml:space="preserve">  p 1</w:t>
      </w:r>
    </w:p>
  </w:footnote>
  <w:footnote w:id="7">
    <w:p w:rsidR="00C16B47" w:rsidRDefault="00C16B47">
      <w:pPr>
        <w:pStyle w:val="FootnoteText"/>
      </w:pPr>
      <w:r>
        <w:rPr>
          <w:rStyle w:val="FootnoteReference"/>
        </w:rPr>
        <w:footnoteRef/>
      </w:r>
      <w:r>
        <w:t xml:space="preserve"> ACT Department of Education and Training, (2009) </w:t>
      </w:r>
      <w:r w:rsidRPr="00DF3A6E">
        <w:rPr>
          <w:i/>
        </w:rPr>
        <w:t>Literacy and Numeracy Strategy 2009-2013</w:t>
      </w:r>
      <w:r>
        <w:rPr>
          <w:i/>
        </w:rPr>
        <w:t>,</w:t>
      </w:r>
      <w:r>
        <w:t xml:space="preserve">  p13</w:t>
      </w:r>
    </w:p>
  </w:footnote>
  <w:footnote w:id="8">
    <w:p w:rsidR="00C16B47" w:rsidRDefault="00C16B47">
      <w:pPr>
        <w:pStyle w:val="FootnoteText"/>
      </w:pPr>
      <w:r>
        <w:rPr>
          <w:rStyle w:val="FootnoteReference"/>
        </w:rPr>
        <w:footnoteRef/>
      </w:r>
      <w:r>
        <w:t xml:space="preserve"> ACT Education and Training Directorate, (2012) English as an Additional Language or Dialect (EALD) Program Procedural Manual</w:t>
      </w:r>
    </w:p>
  </w:footnote>
  <w:footnote w:id="9">
    <w:p w:rsidR="00C16B47" w:rsidRPr="00C376E2" w:rsidRDefault="00C16B47" w:rsidP="00F17392">
      <w:pPr>
        <w:pStyle w:val="FootnoteText"/>
        <w:rPr>
          <w:lang w:val="en-US"/>
        </w:rPr>
      </w:pPr>
      <w:r>
        <w:rPr>
          <w:rStyle w:val="FootnoteReference"/>
        </w:rPr>
        <w:footnoteRef/>
      </w:r>
      <w:r>
        <w:t xml:space="preserve"> </w:t>
      </w:r>
      <w:r>
        <w:rPr>
          <w:lang w:val="en-US"/>
        </w:rPr>
        <w:t>See Appendix 4 – Background Paper</w:t>
      </w:r>
    </w:p>
  </w:footnote>
  <w:footnote w:id="10">
    <w:p w:rsidR="00C16B47" w:rsidRPr="00D82B4D" w:rsidRDefault="00C16B47" w:rsidP="00A545CB">
      <w:pPr>
        <w:pStyle w:val="FootnoteText"/>
        <w:rPr>
          <w:rFonts w:cs="Calibri"/>
        </w:rPr>
      </w:pPr>
      <w:r>
        <w:rPr>
          <w:rStyle w:val="FootnoteReference"/>
        </w:rPr>
        <w:footnoteRef/>
      </w:r>
      <w:r>
        <w:t xml:space="preserve"> </w:t>
      </w:r>
      <w:r w:rsidRPr="00D82B4D">
        <w:rPr>
          <w:rFonts w:cs="Calibri"/>
          <w:color w:val="000000"/>
        </w:rPr>
        <w:t>Australian Curriculum, Assessment and Reporting Authority</w:t>
      </w:r>
    </w:p>
  </w:footnote>
  <w:footnote w:id="11">
    <w:p w:rsidR="00C16B47" w:rsidRPr="00D82B4D" w:rsidRDefault="00C16B47" w:rsidP="00A545CB">
      <w:pPr>
        <w:pStyle w:val="Footer"/>
        <w:rPr>
          <w:rFonts w:cs="Calibri"/>
          <w:sz w:val="20"/>
          <w:szCs w:val="20"/>
        </w:rPr>
      </w:pPr>
      <w:r w:rsidRPr="00D82B4D">
        <w:rPr>
          <w:rStyle w:val="FootnoteReference"/>
          <w:rFonts w:cs="Calibri"/>
          <w:sz w:val="20"/>
          <w:szCs w:val="20"/>
        </w:rPr>
        <w:footnoteRef/>
      </w:r>
      <w:r w:rsidRPr="00D82B4D">
        <w:rPr>
          <w:rFonts w:cs="Calibri"/>
          <w:sz w:val="20"/>
          <w:szCs w:val="20"/>
        </w:rPr>
        <w:t xml:space="preserve"> Australian Education, Early Childhood Development and Youth Affairs Senior Officials Committee provides policy advice to MCEECDYA (Ministerial Council for Education, Early Childhood Development and Youth Affairs)</w:t>
      </w:r>
    </w:p>
    <w:p w:rsidR="00C16B47" w:rsidRDefault="00C16B47" w:rsidP="00A545CB">
      <w:pPr>
        <w:pStyle w:val="FootnoteText"/>
      </w:pPr>
    </w:p>
  </w:footnote>
  <w:footnote w:id="12">
    <w:p w:rsidR="00C16B47" w:rsidRPr="00C376E2" w:rsidRDefault="00C16B47" w:rsidP="00CC0060">
      <w:pPr>
        <w:pStyle w:val="FootnoteText"/>
        <w:rPr>
          <w:lang w:val="en-US"/>
        </w:rPr>
      </w:pPr>
      <w:r>
        <w:rPr>
          <w:rStyle w:val="FootnoteReference"/>
        </w:rPr>
        <w:footnoteRef/>
      </w:r>
      <w:r>
        <w:t xml:space="preserve"> </w:t>
      </w:r>
      <w:r>
        <w:rPr>
          <w:lang w:val="en-US"/>
        </w:rPr>
        <w:t>See Appendix 4 – Background Paper</w:t>
      </w:r>
    </w:p>
  </w:footnote>
  <w:footnote w:id="13">
    <w:p w:rsidR="00C16B47" w:rsidRPr="00B14038" w:rsidRDefault="00C16B47" w:rsidP="00B14038">
      <w:pPr>
        <w:pStyle w:val="FootnoteText"/>
      </w:pPr>
      <w:r w:rsidRPr="00B14038">
        <w:rPr>
          <w:rStyle w:val="FootnoteReference"/>
        </w:rPr>
        <w:footnoteRef/>
      </w:r>
      <w:r w:rsidRPr="00B14038">
        <w:t xml:space="preserve"> It is important to note that that these staffing resources were </w:t>
      </w:r>
      <w:r>
        <w:t>not lost, but allocated</w:t>
      </w:r>
      <w:r w:rsidRPr="00B14038">
        <w:t xml:space="preserve"> into the mainstream pool</w:t>
      </w:r>
    </w:p>
  </w:footnote>
  <w:footnote w:id="14">
    <w:p w:rsidR="00C16B47" w:rsidRDefault="00C16B47" w:rsidP="00B14038">
      <w:pPr>
        <w:pStyle w:val="FootnoteText"/>
      </w:pPr>
      <w:r>
        <w:rPr>
          <w:rStyle w:val="FootnoteReference"/>
        </w:rPr>
        <w:footnoteRef/>
      </w:r>
      <w:r>
        <w:t xml:space="preserve"> Association of Teachers of English to Speakers of Other Languages</w:t>
      </w:r>
    </w:p>
  </w:footnote>
  <w:footnote w:id="15">
    <w:p w:rsidR="00C16B47" w:rsidRDefault="00C16B47" w:rsidP="00B14038">
      <w:pPr>
        <w:pStyle w:val="FootnoteText"/>
      </w:pPr>
      <w:r>
        <w:rPr>
          <w:rStyle w:val="FootnoteReference"/>
        </w:rPr>
        <w:footnoteRef/>
      </w:r>
      <w:r>
        <w:t xml:space="preserve"> Language for Understanding Across the Curriculum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4AC"/>
    <w:multiLevelType w:val="hybridMultilevel"/>
    <w:tmpl w:val="646A9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C032D"/>
    <w:multiLevelType w:val="hybridMultilevel"/>
    <w:tmpl w:val="15D868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7207CE5"/>
    <w:multiLevelType w:val="hybridMultilevel"/>
    <w:tmpl w:val="64B4C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CA6D34"/>
    <w:multiLevelType w:val="hybridMultilevel"/>
    <w:tmpl w:val="8188B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F1047E"/>
    <w:multiLevelType w:val="hybridMultilevel"/>
    <w:tmpl w:val="2F900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007B58"/>
    <w:multiLevelType w:val="multilevel"/>
    <w:tmpl w:val="63BA76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2F766B"/>
    <w:multiLevelType w:val="hybridMultilevel"/>
    <w:tmpl w:val="82F69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486032"/>
    <w:multiLevelType w:val="hybridMultilevel"/>
    <w:tmpl w:val="C88EA722"/>
    <w:lvl w:ilvl="0" w:tplc="F83CE284">
      <w:start w:val="1"/>
      <w:numFmt w:val="decimal"/>
      <w:lvlText w:val="%1."/>
      <w:lvlJc w:val="left"/>
      <w:pPr>
        <w:ind w:left="720" w:hanging="360"/>
      </w:pPr>
      <w:rPr>
        <w:rFont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540C60"/>
    <w:multiLevelType w:val="hybridMultilevel"/>
    <w:tmpl w:val="F1226D9C"/>
    <w:lvl w:ilvl="0" w:tplc="DD42C93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BF1579"/>
    <w:multiLevelType w:val="hybridMultilevel"/>
    <w:tmpl w:val="B428FF44"/>
    <w:lvl w:ilvl="0" w:tplc="0C090001">
      <w:start w:val="1"/>
      <w:numFmt w:val="bullet"/>
      <w:lvlText w:val=""/>
      <w:lvlJc w:val="left"/>
      <w:pPr>
        <w:ind w:left="1080" w:hanging="360"/>
      </w:pPr>
      <w:rPr>
        <w:rFonts w:ascii="Symbol" w:hAnsi="Symbol" w:hint="default"/>
        <w:sz w:val="20"/>
      </w:rPr>
    </w:lvl>
    <w:lvl w:ilvl="1" w:tplc="0C090003">
      <w:start w:val="1"/>
      <w:numFmt w:val="bullet"/>
      <w:lvlText w:val="o"/>
      <w:lvlJc w:val="left"/>
      <w:pPr>
        <w:ind w:left="1050" w:hanging="360"/>
      </w:pPr>
      <w:rPr>
        <w:rFonts w:ascii="Courier New" w:hAnsi="Courier New" w:cs="Courier New" w:hint="default"/>
      </w:rPr>
    </w:lvl>
    <w:lvl w:ilvl="2" w:tplc="0C090005" w:tentative="1">
      <w:start w:val="1"/>
      <w:numFmt w:val="bullet"/>
      <w:lvlText w:val=""/>
      <w:lvlJc w:val="left"/>
      <w:pPr>
        <w:ind w:left="1770" w:hanging="360"/>
      </w:pPr>
      <w:rPr>
        <w:rFonts w:ascii="Wingdings" w:hAnsi="Wingdings" w:hint="default"/>
      </w:rPr>
    </w:lvl>
    <w:lvl w:ilvl="3" w:tplc="0C090001" w:tentative="1">
      <w:start w:val="1"/>
      <w:numFmt w:val="bullet"/>
      <w:lvlText w:val=""/>
      <w:lvlJc w:val="left"/>
      <w:pPr>
        <w:ind w:left="2490" w:hanging="360"/>
      </w:pPr>
      <w:rPr>
        <w:rFonts w:ascii="Symbol" w:hAnsi="Symbol" w:hint="default"/>
      </w:rPr>
    </w:lvl>
    <w:lvl w:ilvl="4" w:tplc="0C090003" w:tentative="1">
      <w:start w:val="1"/>
      <w:numFmt w:val="bullet"/>
      <w:lvlText w:val="o"/>
      <w:lvlJc w:val="left"/>
      <w:pPr>
        <w:ind w:left="3210" w:hanging="360"/>
      </w:pPr>
      <w:rPr>
        <w:rFonts w:ascii="Courier New" w:hAnsi="Courier New" w:cs="Courier New" w:hint="default"/>
      </w:rPr>
    </w:lvl>
    <w:lvl w:ilvl="5" w:tplc="0C090005" w:tentative="1">
      <w:start w:val="1"/>
      <w:numFmt w:val="bullet"/>
      <w:lvlText w:val=""/>
      <w:lvlJc w:val="left"/>
      <w:pPr>
        <w:ind w:left="3930" w:hanging="360"/>
      </w:pPr>
      <w:rPr>
        <w:rFonts w:ascii="Wingdings" w:hAnsi="Wingdings" w:hint="default"/>
      </w:rPr>
    </w:lvl>
    <w:lvl w:ilvl="6" w:tplc="0C090001" w:tentative="1">
      <w:start w:val="1"/>
      <w:numFmt w:val="bullet"/>
      <w:lvlText w:val=""/>
      <w:lvlJc w:val="left"/>
      <w:pPr>
        <w:ind w:left="4650" w:hanging="360"/>
      </w:pPr>
      <w:rPr>
        <w:rFonts w:ascii="Symbol" w:hAnsi="Symbol" w:hint="default"/>
      </w:rPr>
    </w:lvl>
    <w:lvl w:ilvl="7" w:tplc="0C090003" w:tentative="1">
      <w:start w:val="1"/>
      <w:numFmt w:val="bullet"/>
      <w:lvlText w:val="o"/>
      <w:lvlJc w:val="left"/>
      <w:pPr>
        <w:ind w:left="5370" w:hanging="360"/>
      </w:pPr>
      <w:rPr>
        <w:rFonts w:ascii="Courier New" w:hAnsi="Courier New" w:cs="Courier New" w:hint="default"/>
      </w:rPr>
    </w:lvl>
    <w:lvl w:ilvl="8" w:tplc="0C090005" w:tentative="1">
      <w:start w:val="1"/>
      <w:numFmt w:val="bullet"/>
      <w:lvlText w:val=""/>
      <w:lvlJc w:val="left"/>
      <w:pPr>
        <w:ind w:left="6090" w:hanging="360"/>
      </w:pPr>
      <w:rPr>
        <w:rFonts w:ascii="Wingdings" w:hAnsi="Wingdings" w:hint="default"/>
      </w:rPr>
    </w:lvl>
  </w:abstractNum>
  <w:abstractNum w:abstractNumId="10">
    <w:nsid w:val="110E6B7C"/>
    <w:multiLevelType w:val="hybridMultilevel"/>
    <w:tmpl w:val="86C22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043A53"/>
    <w:multiLevelType w:val="hybridMultilevel"/>
    <w:tmpl w:val="65DAB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BF310D"/>
    <w:multiLevelType w:val="hybridMultilevel"/>
    <w:tmpl w:val="CF709668"/>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3">
    <w:nsid w:val="1D8C3086"/>
    <w:multiLevelType w:val="hybridMultilevel"/>
    <w:tmpl w:val="764A5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B60D5C"/>
    <w:multiLevelType w:val="hybridMultilevel"/>
    <w:tmpl w:val="1B2AA4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0F51CFE"/>
    <w:multiLevelType w:val="hybridMultilevel"/>
    <w:tmpl w:val="DB1EAB54"/>
    <w:lvl w:ilvl="0" w:tplc="DD42C93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0F91A8A"/>
    <w:multiLevelType w:val="hybridMultilevel"/>
    <w:tmpl w:val="CD1EAD10"/>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7">
    <w:nsid w:val="23E9551E"/>
    <w:multiLevelType w:val="hybridMultilevel"/>
    <w:tmpl w:val="AD960050"/>
    <w:lvl w:ilvl="0" w:tplc="EA569FD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nsid w:val="23FA77A8"/>
    <w:multiLevelType w:val="hybridMultilevel"/>
    <w:tmpl w:val="73BC5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4174B1"/>
    <w:multiLevelType w:val="hybridMultilevel"/>
    <w:tmpl w:val="0E96E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55F6D64"/>
    <w:multiLevelType w:val="hybridMultilevel"/>
    <w:tmpl w:val="AB30C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8DA6628"/>
    <w:multiLevelType w:val="hybridMultilevel"/>
    <w:tmpl w:val="A78C19E4"/>
    <w:lvl w:ilvl="0" w:tplc="DD42C93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96545E3"/>
    <w:multiLevelType w:val="hybridMultilevel"/>
    <w:tmpl w:val="A75E3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087230"/>
    <w:multiLevelType w:val="multilevel"/>
    <w:tmpl w:val="48925D0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46D757E"/>
    <w:multiLevelType w:val="multilevel"/>
    <w:tmpl w:val="2D4ABBF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34722BA5"/>
    <w:multiLevelType w:val="hybridMultilevel"/>
    <w:tmpl w:val="1EF03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9E70E38"/>
    <w:multiLevelType w:val="hybridMultilevel"/>
    <w:tmpl w:val="562C5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B347417"/>
    <w:multiLevelType w:val="multilevel"/>
    <w:tmpl w:val="E62A74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D5933E7"/>
    <w:multiLevelType w:val="hybridMultilevel"/>
    <w:tmpl w:val="B4BC4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8CE5AE8"/>
    <w:multiLevelType w:val="hybridMultilevel"/>
    <w:tmpl w:val="5F42C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C4659B2"/>
    <w:multiLevelType w:val="hybridMultilevel"/>
    <w:tmpl w:val="AB5A0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DB11C1"/>
    <w:multiLevelType w:val="hybridMultilevel"/>
    <w:tmpl w:val="8AA0B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9C0632E"/>
    <w:multiLevelType w:val="hybridMultilevel"/>
    <w:tmpl w:val="30F20D32"/>
    <w:lvl w:ilvl="0" w:tplc="0C090001">
      <w:start w:val="1"/>
      <w:numFmt w:val="bullet"/>
      <w:lvlText w:val=""/>
      <w:lvlJc w:val="left"/>
      <w:pPr>
        <w:ind w:left="750" w:hanging="360"/>
      </w:pPr>
      <w:rPr>
        <w:rFonts w:ascii="Symbol" w:hAnsi="Symbol" w:hint="default"/>
      </w:rPr>
    </w:lvl>
    <w:lvl w:ilvl="1" w:tplc="E44CED2A">
      <w:start w:val="1"/>
      <w:numFmt w:val="bullet"/>
      <w:lvlText w:val="o"/>
      <w:lvlJc w:val="left"/>
      <w:pPr>
        <w:ind w:left="1470" w:hanging="360"/>
      </w:pPr>
      <w:rPr>
        <w:rFonts w:ascii="Courier New" w:hAnsi="Courier New" w:hint="default"/>
        <w:sz w:val="20"/>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3">
    <w:nsid w:val="5ABC31C7"/>
    <w:multiLevelType w:val="hybridMultilevel"/>
    <w:tmpl w:val="B2EEE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C2A7537"/>
    <w:multiLevelType w:val="multilevel"/>
    <w:tmpl w:val="FB4E935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E7D3BAC"/>
    <w:multiLevelType w:val="hybridMultilevel"/>
    <w:tmpl w:val="D02CB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2883F45"/>
    <w:multiLevelType w:val="hybridMultilevel"/>
    <w:tmpl w:val="FE7ECD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64D5B31"/>
    <w:multiLevelType w:val="multilevel"/>
    <w:tmpl w:val="6E4857B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8">
    <w:nsid w:val="674767BE"/>
    <w:multiLevelType w:val="hybridMultilevel"/>
    <w:tmpl w:val="147409DE"/>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9">
    <w:nsid w:val="67E043C6"/>
    <w:multiLevelType w:val="hybridMultilevel"/>
    <w:tmpl w:val="9CB8B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894495C"/>
    <w:multiLevelType w:val="hybridMultilevel"/>
    <w:tmpl w:val="1AD23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BC82566"/>
    <w:multiLevelType w:val="hybridMultilevel"/>
    <w:tmpl w:val="0808783C"/>
    <w:lvl w:ilvl="0" w:tplc="0C090001">
      <w:start w:val="1"/>
      <w:numFmt w:val="bullet"/>
      <w:lvlText w:val=""/>
      <w:lvlJc w:val="left"/>
      <w:pPr>
        <w:ind w:left="808" w:hanging="360"/>
      </w:pPr>
      <w:rPr>
        <w:rFonts w:ascii="Symbol" w:hAnsi="Symbol" w:hint="default"/>
      </w:rPr>
    </w:lvl>
    <w:lvl w:ilvl="1" w:tplc="0C090003" w:tentative="1">
      <w:start w:val="1"/>
      <w:numFmt w:val="bullet"/>
      <w:lvlText w:val="o"/>
      <w:lvlJc w:val="left"/>
      <w:pPr>
        <w:ind w:left="1528" w:hanging="360"/>
      </w:pPr>
      <w:rPr>
        <w:rFonts w:ascii="Courier New" w:hAnsi="Courier New" w:cs="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42">
    <w:nsid w:val="6F555567"/>
    <w:multiLevelType w:val="hybridMultilevel"/>
    <w:tmpl w:val="AD960050"/>
    <w:lvl w:ilvl="0" w:tplc="EA569FD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3">
    <w:nsid w:val="70A70368"/>
    <w:multiLevelType w:val="hybridMultilevel"/>
    <w:tmpl w:val="167E2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17F52CB"/>
    <w:multiLevelType w:val="hybridMultilevel"/>
    <w:tmpl w:val="3E501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3857CFB"/>
    <w:multiLevelType w:val="hybridMultilevel"/>
    <w:tmpl w:val="FC747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B373DDE"/>
    <w:multiLevelType w:val="hybridMultilevel"/>
    <w:tmpl w:val="73A28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B780375"/>
    <w:multiLevelType w:val="hybridMultilevel"/>
    <w:tmpl w:val="BFACD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356E3F"/>
    <w:multiLevelType w:val="hybridMultilevel"/>
    <w:tmpl w:val="4CC69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8"/>
  </w:num>
  <w:num w:numId="4">
    <w:abstractNumId w:val="28"/>
  </w:num>
  <w:num w:numId="5">
    <w:abstractNumId w:val="19"/>
  </w:num>
  <w:num w:numId="6">
    <w:abstractNumId w:val="48"/>
  </w:num>
  <w:num w:numId="7">
    <w:abstractNumId w:val="30"/>
  </w:num>
  <w:num w:numId="8">
    <w:abstractNumId w:val="35"/>
  </w:num>
  <w:num w:numId="9">
    <w:abstractNumId w:val="44"/>
  </w:num>
  <w:num w:numId="10">
    <w:abstractNumId w:val="26"/>
  </w:num>
  <w:num w:numId="11">
    <w:abstractNumId w:val="39"/>
  </w:num>
  <w:num w:numId="12">
    <w:abstractNumId w:val="11"/>
  </w:num>
  <w:num w:numId="13">
    <w:abstractNumId w:val="13"/>
  </w:num>
  <w:num w:numId="14">
    <w:abstractNumId w:val="46"/>
  </w:num>
  <w:num w:numId="15">
    <w:abstractNumId w:val="31"/>
  </w:num>
  <w:num w:numId="16">
    <w:abstractNumId w:val="25"/>
  </w:num>
  <w:num w:numId="17">
    <w:abstractNumId w:val="18"/>
  </w:num>
  <w:num w:numId="18">
    <w:abstractNumId w:val="40"/>
  </w:num>
  <w:num w:numId="19">
    <w:abstractNumId w:val="10"/>
  </w:num>
  <w:num w:numId="20">
    <w:abstractNumId w:val="47"/>
  </w:num>
  <w:num w:numId="21">
    <w:abstractNumId w:val="29"/>
  </w:num>
  <w:num w:numId="22">
    <w:abstractNumId w:val="3"/>
  </w:num>
  <w:num w:numId="23">
    <w:abstractNumId w:val="20"/>
  </w:num>
  <w:num w:numId="24">
    <w:abstractNumId w:val="33"/>
  </w:num>
  <w:num w:numId="25">
    <w:abstractNumId w:val="45"/>
  </w:num>
  <w:num w:numId="26">
    <w:abstractNumId w:val="16"/>
  </w:num>
  <w:num w:numId="27">
    <w:abstractNumId w:val="43"/>
  </w:num>
  <w:num w:numId="28">
    <w:abstractNumId w:val="12"/>
  </w:num>
  <w:num w:numId="29">
    <w:abstractNumId w:val="17"/>
  </w:num>
  <w:num w:numId="30">
    <w:abstractNumId w:val="42"/>
  </w:num>
  <w:num w:numId="31">
    <w:abstractNumId w:val="22"/>
  </w:num>
  <w:num w:numId="32">
    <w:abstractNumId w:val="7"/>
  </w:num>
  <w:num w:numId="33">
    <w:abstractNumId w:val="41"/>
  </w:num>
  <w:num w:numId="34">
    <w:abstractNumId w:val="32"/>
  </w:num>
  <w:num w:numId="35">
    <w:abstractNumId w:val="9"/>
  </w:num>
  <w:num w:numId="36">
    <w:abstractNumId w:val="15"/>
  </w:num>
  <w:num w:numId="37">
    <w:abstractNumId w:val="8"/>
  </w:num>
  <w:num w:numId="38">
    <w:abstractNumId w:val="21"/>
  </w:num>
  <w:num w:numId="39">
    <w:abstractNumId w:val="23"/>
  </w:num>
  <w:num w:numId="40">
    <w:abstractNumId w:val="5"/>
  </w:num>
  <w:num w:numId="41">
    <w:abstractNumId w:val="37"/>
  </w:num>
  <w:num w:numId="42">
    <w:abstractNumId w:val="27"/>
  </w:num>
  <w:num w:numId="43">
    <w:abstractNumId w:val="14"/>
  </w:num>
  <w:num w:numId="44">
    <w:abstractNumId w:val="24"/>
  </w:num>
  <w:num w:numId="45">
    <w:abstractNumId w:val="34"/>
  </w:num>
  <w:num w:numId="46">
    <w:abstractNumId w:val="24"/>
  </w:num>
  <w:num w:numId="47">
    <w:abstractNumId w:val="36"/>
  </w:num>
  <w:num w:numId="48">
    <w:abstractNumId w:val="6"/>
  </w:num>
  <w:num w:numId="49">
    <w:abstractNumId w:val="1"/>
  </w:num>
  <w:num w:numId="50">
    <w:abstractNumId w:val="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EB0A77"/>
    <w:rsid w:val="00000285"/>
    <w:rsid w:val="000019BB"/>
    <w:rsid w:val="00001AAB"/>
    <w:rsid w:val="00002A4C"/>
    <w:rsid w:val="00005AEA"/>
    <w:rsid w:val="00006A54"/>
    <w:rsid w:val="00006B2E"/>
    <w:rsid w:val="000073DA"/>
    <w:rsid w:val="00007901"/>
    <w:rsid w:val="0001048B"/>
    <w:rsid w:val="000113B3"/>
    <w:rsid w:val="000118C7"/>
    <w:rsid w:val="00012A4C"/>
    <w:rsid w:val="00013E10"/>
    <w:rsid w:val="000141EB"/>
    <w:rsid w:val="00015735"/>
    <w:rsid w:val="00016274"/>
    <w:rsid w:val="000164B5"/>
    <w:rsid w:val="000168BC"/>
    <w:rsid w:val="00017C76"/>
    <w:rsid w:val="00017D55"/>
    <w:rsid w:val="00020B97"/>
    <w:rsid w:val="00022002"/>
    <w:rsid w:val="0002232C"/>
    <w:rsid w:val="0002323D"/>
    <w:rsid w:val="00023A88"/>
    <w:rsid w:val="00023EBF"/>
    <w:rsid w:val="00023FDE"/>
    <w:rsid w:val="00024B28"/>
    <w:rsid w:val="00024B53"/>
    <w:rsid w:val="00024D00"/>
    <w:rsid w:val="00024D3F"/>
    <w:rsid w:val="000254AB"/>
    <w:rsid w:val="00026349"/>
    <w:rsid w:val="00026BC9"/>
    <w:rsid w:val="00026F34"/>
    <w:rsid w:val="000270AC"/>
    <w:rsid w:val="000273C0"/>
    <w:rsid w:val="00027D76"/>
    <w:rsid w:val="000304CD"/>
    <w:rsid w:val="0003179B"/>
    <w:rsid w:val="00032193"/>
    <w:rsid w:val="0003267D"/>
    <w:rsid w:val="0003350F"/>
    <w:rsid w:val="000339D0"/>
    <w:rsid w:val="00033BE1"/>
    <w:rsid w:val="0003517E"/>
    <w:rsid w:val="0003546B"/>
    <w:rsid w:val="0003576D"/>
    <w:rsid w:val="00035BC4"/>
    <w:rsid w:val="00036158"/>
    <w:rsid w:val="000363F4"/>
    <w:rsid w:val="000365DD"/>
    <w:rsid w:val="0003682A"/>
    <w:rsid w:val="00037157"/>
    <w:rsid w:val="00037A72"/>
    <w:rsid w:val="0004022C"/>
    <w:rsid w:val="00040771"/>
    <w:rsid w:val="00040AB0"/>
    <w:rsid w:val="00040B96"/>
    <w:rsid w:val="00041296"/>
    <w:rsid w:val="000416C8"/>
    <w:rsid w:val="00042383"/>
    <w:rsid w:val="0004283D"/>
    <w:rsid w:val="000428D5"/>
    <w:rsid w:val="00044BC7"/>
    <w:rsid w:val="0004560F"/>
    <w:rsid w:val="000458B9"/>
    <w:rsid w:val="00045E45"/>
    <w:rsid w:val="00045F10"/>
    <w:rsid w:val="00046DC5"/>
    <w:rsid w:val="00046E0E"/>
    <w:rsid w:val="0005070F"/>
    <w:rsid w:val="00050725"/>
    <w:rsid w:val="00050F55"/>
    <w:rsid w:val="000510BA"/>
    <w:rsid w:val="000510CB"/>
    <w:rsid w:val="0005131F"/>
    <w:rsid w:val="00052C2B"/>
    <w:rsid w:val="00054909"/>
    <w:rsid w:val="00055534"/>
    <w:rsid w:val="0005563F"/>
    <w:rsid w:val="00055D95"/>
    <w:rsid w:val="0005708A"/>
    <w:rsid w:val="0005754B"/>
    <w:rsid w:val="00057BF9"/>
    <w:rsid w:val="0006059B"/>
    <w:rsid w:val="000605B7"/>
    <w:rsid w:val="00060703"/>
    <w:rsid w:val="000613FA"/>
    <w:rsid w:val="00061A4D"/>
    <w:rsid w:val="0006227A"/>
    <w:rsid w:val="00062542"/>
    <w:rsid w:val="00062B20"/>
    <w:rsid w:val="00062B56"/>
    <w:rsid w:val="00062B93"/>
    <w:rsid w:val="00063031"/>
    <w:rsid w:val="000638FE"/>
    <w:rsid w:val="00064EEF"/>
    <w:rsid w:val="0006632B"/>
    <w:rsid w:val="000664D6"/>
    <w:rsid w:val="00066780"/>
    <w:rsid w:val="00066C03"/>
    <w:rsid w:val="00067393"/>
    <w:rsid w:val="000706BE"/>
    <w:rsid w:val="00071005"/>
    <w:rsid w:val="00072172"/>
    <w:rsid w:val="0007326A"/>
    <w:rsid w:val="0007530A"/>
    <w:rsid w:val="00075BBD"/>
    <w:rsid w:val="00075E0F"/>
    <w:rsid w:val="00076993"/>
    <w:rsid w:val="0007766F"/>
    <w:rsid w:val="00077AEA"/>
    <w:rsid w:val="00077ED4"/>
    <w:rsid w:val="00080B43"/>
    <w:rsid w:val="0008151B"/>
    <w:rsid w:val="00082509"/>
    <w:rsid w:val="00083B6D"/>
    <w:rsid w:val="000851A8"/>
    <w:rsid w:val="00086163"/>
    <w:rsid w:val="00086F48"/>
    <w:rsid w:val="00087269"/>
    <w:rsid w:val="000909C7"/>
    <w:rsid w:val="00090CC6"/>
    <w:rsid w:val="00090F23"/>
    <w:rsid w:val="00091683"/>
    <w:rsid w:val="00092FA8"/>
    <w:rsid w:val="00093031"/>
    <w:rsid w:val="000933EF"/>
    <w:rsid w:val="00094A17"/>
    <w:rsid w:val="00095918"/>
    <w:rsid w:val="00095B8E"/>
    <w:rsid w:val="0009739C"/>
    <w:rsid w:val="00097D4C"/>
    <w:rsid w:val="000A09AF"/>
    <w:rsid w:val="000A1723"/>
    <w:rsid w:val="000A19DA"/>
    <w:rsid w:val="000A3088"/>
    <w:rsid w:val="000A44CC"/>
    <w:rsid w:val="000A580F"/>
    <w:rsid w:val="000A5F8A"/>
    <w:rsid w:val="000A627E"/>
    <w:rsid w:val="000A662C"/>
    <w:rsid w:val="000A66D3"/>
    <w:rsid w:val="000A67EF"/>
    <w:rsid w:val="000A6C90"/>
    <w:rsid w:val="000A6F86"/>
    <w:rsid w:val="000B0039"/>
    <w:rsid w:val="000B01B4"/>
    <w:rsid w:val="000B0867"/>
    <w:rsid w:val="000B086C"/>
    <w:rsid w:val="000B0A19"/>
    <w:rsid w:val="000B10B8"/>
    <w:rsid w:val="000B1249"/>
    <w:rsid w:val="000B17AA"/>
    <w:rsid w:val="000B25A1"/>
    <w:rsid w:val="000B3036"/>
    <w:rsid w:val="000B309D"/>
    <w:rsid w:val="000B4864"/>
    <w:rsid w:val="000B49CE"/>
    <w:rsid w:val="000B4BC1"/>
    <w:rsid w:val="000B55AB"/>
    <w:rsid w:val="000B6AA7"/>
    <w:rsid w:val="000B6B4C"/>
    <w:rsid w:val="000B7109"/>
    <w:rsid w:val="000B71D4"/>
    <w:rsid w:val="000C0E93"/>
    <w:rsid w:val="000C14CE"/>
    <w:rsid w:val="000C1BA2"/>
    <w:rsid w:val="000C2463"/>
    <w:rsid w:val="000C3025"/>
    <w:rsid w:val="000C30FF"/>
    <w:rsid w:val="000C3C11"/>
    <w:rsid w:val="000C3F30"/>
    <w:rsid w:val="000C43FF"/>
    <w:rsid w:val="000C68E9"/>
    <w:rsid w:val="000C6C34"/>
    <w:rsid w:val="000C75FE"/>
    <w:rsid w:val="000D3813"/>
    <w:rsid w:val="000D42F5"/>
    <w:rsid w:val="000D4381"/>
    <w:rsid w:val="000D4794"/>
    <w:rsid w:val="000D48B7"/>
    <w:rsid w:val="000D5786"/>
    <w:rsid w:val="000D5DAC"/>
    <w:rsid w:val="000D681C"/>
    <w:rsid w:val="000D6E48"/>
    <w:rsid w:val="000D718A"/>
    <w:rsid w:val="000D7A3D"/>
    <w:rsid w:val="000E00BF"/>
    <w:rsid w:val="000E05E9"/>
    <w:rsid w:val="000E1C2E"/>
    <w:rsid w:val="000E2B95"/>
    <w:rsid w:val="000E2FFD"/>
    <w:rsid w:val="000E34DD"/>
    <w:rsid w:val="000E3D14"/>
    <w:rsid w:val="000E6011"/>
    <w:rsid w:val="000E6764"/>
    <w:rsid w:val="000E6D6C"/>
    <w:rsid w:val="000E738E"/>
    <w:rsid w:val="000E7E27"/>
    <w:rsid w:val="000E7FAE"/>
    <w:rsid w:val="000F02F8"/>
    <w:rsid w:val="000F1AAE"/>
    <w:rsid w:val="000F29C6"/>
    <w:rsid w:val="000F32D6"/>
    <w:rsid w:val="000F38AC"/>
    <w:rsid w:val="000F45B0"/>
    <w:rsid w:val="000F463A"/>
    <w:rsid w:val="000F4700"/>
    <w:rsid w:val="000F48D8"/>
    <w:rsid w:val="000F4DF7"/>
    <w:rsid w:val="000F59A5"/>
    <w:rsid w:val="000F63A4"/>
    <w:rsid w:val="000F65B7"/>
    <w:rsid w:val="000F6E9C"/>
    <w:rsid w:val="000F7A80"/>
    <w:rsid w:val="0010013E"/>
    <w:rsid w:val="00100B0F"/>
    <w:rsid w:val="00100ECF"/>
    <w:rsid w:val="00100F58"/>
    <w:rsid w:val="001013C6"/>
    <w:rsid w:val="001013C8"/>
    <w:rsid w:val="00101407"/>
    <w:rsid w:val="001021A0"/>
    <w:rsid w:val="00103B62"/>
    <w:rsid w:val="00106F33"/>
    <w:rsid w:val="001076E5"/>
    <w:rsid w:val="0010774C"/>
    <w:rsid w:val="0011003C"/>
    <w:rsid w:val="00110777"/>
    <w:rsid w:val="0011082E"/>
    <w:rsid w:val="0011118D"/>
    <w:rsid w:val="001129BA"/>
    <w:rsid w:val="00112EBD"/>
    <w:rsid w:val="0011300D"/>
    <w:rsid w:val="0011366B"/>
    <w:rsid w:val="001138F5"/>
    <w:rsid w:val="00113DA3"/>
    <w:rsid w:val="001140D6"/>
    <w:rsid w:val="00114361"/>
    <w:rsid w:val="00115A82"/>
    <w:rsid w:val="00115E4C"/>
    <w:rsid w:val="00117A82"/>
    <w:rsid w:val="00120378"/>
    <w:rsid w:val="00120735"/>
    <w:rsid w:val="00121B60"/>
    <w:rsid w:val="00121CFB"/>
    <w:rsid w:val="00121E81"/>
    <w:rsid w:val="00121EFF"/>
    <w:rsid w:val="001220E4"/>
    <w:rsid w:val="00122AC9"/>
    <w:rsid w:val="00123715"/>
    <w:rsid w:val="00123B8D"/>
    <w:rsid w:val="001243BD"/>
    <w:rsid w:val="00124548"/>
    <w:rsid w:val="00125A1C"/>
    <w:rsid w:val="00125A26"/>
    <w:rsid w:val="00125AD6"/>
    <w:rsid w:val="00126629"/>
    <w:rsid w:val="00126DF2"/>
    <w:rsid w:val="0013033B"/>
    <w:rsid w:val="00130ABE"/>
    <w:rsid w:val="00131604"/>
    <w:rsid w:val="00131E7C"/>
    <w:rsid w:val="00132911"/>
    <w:rsid w:val="00133422"/>
    <w:rsid w:val="00133B40"/>
    <w:rsid w:val="001341B1"/>
    <w:rsid w:val="0013435C"/>
    <w:rsid w:val="00134642"/>
    <w:rsid w:val="00134E07"/>
    <w:rsid w:val="00134FED"/>
    <w:rsid w:val="0013501E"/>
    <w:rsid w:val="00135516"/>
    <w:rsid w:val="001359DD"/>
    <w:rsid w:val="00135D48"/>
    <w:rsid w:val="00136139"/>
    <w:rsid w:val="0013624E"/>
    <w:rsid w:val="00136613"/>
    <w:rsid w:val="001369FF"/>
    <w:rsid w:val="001372E3"/>
    <w:rsid w:val="0013740C"/>
    <w:rsid w:val="00137B6C"/>
    <w:rsid w:val="00140A9B"/>
    <w:rsid w:val="00140F45"/>
    <w:rsid w:val="00140F97"/>
    <w:rsid w:val="00142A8B"/>
    <w:rsid w:val="00143353"/>
    <w:rsid w:val="00143444"/>
    <w:rsid w:val="00143A2A"/>
    <w:rsid w:val="00143E57"/>
    <w:rsid w:val="001452BF"/>
    <w:rsid w:val="00146F43"/>
    <w:rsid w:val="00147061"/>
    <w:rsid w:val="001478A4"/>
    <w:rsid w:val="00147CEC"/>
    <w:rsid w:val="0015020F"/>
    <w:rsid w:val="00150E8B"/>
    <w:rsid w:val="00152242"/>
    <w:rsid w:val="00152F00"/>
    <w:rsid w:val="001548A2"/>
    <w:rsid w:val="00155856"/>
    <w:rsid w:val="00155943"/>
    <w:rsid w:val="00155957"/>
    <w:rsid w:val="00155B10"/>
    <w:rsid w:val="00156D6A"/>
    <w:rsid w:val="00156FF5"/>
    <w:rsid w:val="00160020"/>
    <w:rsid w:val="001603CF"/>
    <w:rsid w:val="001605B8"/>
    <w:rsid w:val="00161344"/>
    <w:rsid w:val="00161835"/>
    <w:rsid w:val="001627CD"/>
    <w:rsid w:val="00163120"/>
    <w:rsid w:val="0016359B"/>
    <w:rsid w:val="00164178"/>
    <w:rsid w:val="001653CC"/>
    <w:rsid w:val="00165C36"/>
    <w:rsid w:val="00165EED"/>
    <w:rsid w:val="00166560"/>
    <w:rsid w:val="001666C3"/>
    <w:rsid w:val="00166A9E"/>
    <w:rsid w:val="00166F4E"/>
    <w:rsid w:val="001679FD"/>
    <w:rsid w:val="001701A9"/>
    <w:rsid w:val="0017129C"/>
    <w:rsid w:val="0017139C"/>
    <w:rsid w:val="00171745"/>
    <w:rsid w:val="00171E9B"/>
    <w:rsid w:val="00172AB3"/>
    <w:rsid w:val="00172CF8"/>
    <w:rsid w:val="00172F12"/>
    <w:rsid w:val="00173EB5"/>
    <w:rsid w:val="00174157"/>
    <w:rsid w:val="001752EA"/>
    <w:rsid w:val="00176F01"/>
    <w:rsid w:val="00176F96"/>
    <w:rsid w:val="001775A7"/>
    <w:rsid w:val="00177E71"/>
    <w:rsid w:val="00180308"/>
    <w:rsid w:val="00180D87"/>
    <w:rsid w:val="00181349"/>
    <w:rsid w:val="00182A61"/>
    <w:rsid w:val="001832A4"/>
    <w:rsid w:val="001833DD"/>
    <w:rsid w:val="001852DD"/>
    <w:rsid w:val="00185801"/>
    <w:rsid w:val="0018654E"/>
    <w:rsid w:val="00186583"/>
    <w:rsid w:val="001865EC"/>
    <w:rsid w:val="00186F35"/>
    <w:rsid w:val="0019219E"/>
    <w:rsid w:val="00192BAA"/>
    <w:rsid w:val="001935BD"/>
    <w:rsid w:val="0019518E"/>
    <w:rsid w:val="00196030"/>
    <w:rsid w:val="0019619B"/>
    <w:rsid w:val="001967A7"/>
    <w:rsid w:val="00196E82"/>
    <w:rsid w:val="001976AA"/>
    <w:rsid w:val="001977CF"/>
    <w:rsid w:val="00197A06"/>
    <w:rsid w:val="001A0B02"/>
    <w:rsid w:val="001A0BA2"/>
    <w:rsid w:val="001A0DAC"/>
    <w:rsid w:val="001A16F3"/>
    <w:rsid w:val="001A2097"/>
    <w:rsid w:val="001A2106"/>
    <w:rsid w:val="001A29F8"/>
    <w:rsid w:val="001A2F42"/>
    <w:rsid w:val="001A386F"/>
    <w:rsid w:val="001A3D13"/>
    <w:rsid w:val="001A40EA"/>
    <w:rsid w:val="001A5266"/>
    <w:rsid w:val="001A5A0F"/>
    <w:rsid w:val="001A5E1F"/>
    <w:rsid w:val="001A60E1"/>
    <w:rsid w:val="001A64E6"/>
    <w:rsid w:val="001A7AAE"/>
    <w:rsid w:val="001A7AD9"/>
    <w:rsid w:val="001B028D"/>
    <w:rsid w:val="001B03CC"/>
    <w:rsid w:val="001B0986"/>
    <w:rsid w:val="001B0DDF"/>
    <w:rsid w:val="001B16DA"/>
    <w:rsid w:val="001B2CFE"/>
    <w:rsid w:val="001B3056"/>
    <w:rsid w:val="001B3832"/>
    <w:rsid w:val="001B44EB"/>
    <w:rsid w:val="001B4CB1"/>
    <w:rsid w:val="001B53B1"/>
    <w:rsid w:val="001B5FCD"/>
    <w:rsid w:val="001B78F1"/>
    <w:rsid w:val="001B7C8C"/>
    <w:rsid w:val="001B7EEF"/>
    <w:rsid w:val="001C0762"/>
    <w:rsid w:val="001C38C6"/>
    <w:rsid w:val="001C3E0A"/>
    <w:rsid w:val="001C4381"/>
    <w:rsid w:val="001C4BA2"/>
    <w:rsid w:val="001C4BB1"/>
    <w:rsid w:val="001C4FD1"/>
    <w:rsid w:val="001C59E3"/>
    <w:rsid w:val="001C61D7"/>
    <w:rsid w:val="001C6894"/>
    <w:rsid w:val="001C6CDA"/>
    <w:rsid w:val="001C704B"/>
    <w:rsid w:val="001C7740"/>
    <w:rsid w:val="001C7960"/>
    <w:rsid w:val="001D008D"/>
    <w:rsid w:val="001D028B"/>
    <w:rsid w:val="001D0BED"/>
    <w:rsid w:val="001D1D15"/>
    <w:rsid w:val="001D1EEB"/>
    <w:rsid w:val="001D3C14"/>
    <w:rsid w:val="001D3DA0"/>
    <w:rsid w:val="001D43D1"/>
    <w:rsid w:val="001D4584"/>
    <w:rsid w:val="001D4B2D"/>
    <w:rsid w:val="001D6645"/>
    <w:rsid w:val="001D7617"/>
    <w:rsid w:val="001D7FF7"/>
    <w:rsid w:val="001E0210"/>
    <w:rsid w:val="001E208D"/>
    <w:rsid w:val="001E2674"/>
    <w:rsid w:val="001E2937"/>
    <w:rsid w:val="001E2B36"/>
    <w:rsid w:val="001E32BB"/>
    <w:rsid w:val="001E377A"/>
    <w:rsid w:val="001E4908"/>
    <w:rsid w:val="001E54BA"/>
    <w:rsid w:val="001E5D8F"/>
    <w:rsid w:val="001E6330"/>
    <w:rsid w:val="001F1030"/>
    <w:rsid w:val="001F24BA"/>
    <w:rsid w:val="001F349B"/>
    <w:rsid w:val="001F581F"/>
    <w:rsid w:val="001F6335"/>
    <w:rsid w:val="001F6680"/>
    <w:rsid w:val="001F7DCA"/>
    <w:rsid w:val="001F7F33"/>
    <w:rsid w:val="00200BCB"/>
    <w:rsid w:val="00201903"/>
    <w:rsid w:val="00201C39"/>
    <w:rsid w:val="002025F8"/>
    <w:rsid w:val="002031FC"/>
    <w:rsid w:val="00203AE6"/>
    <w:rsid w:val="00204022"/>
    <w:rsid w:val="00204445"/>
    <w:rsid w:val="002044FB"/>
    <w:rsid w:val="00204854"/>
    <w:rsid w:val="00204923"/>
    <w:rsid w:val="00205B4E"/>
    <w:rsid w:val="002068DA"/>
    <w:rsid w:val="00206B73"/>
    <w:rsid w:val="00206BEE"/>
    <w:rsid w:val="00207E2B"/>
    <w:rsid w:val="00210062"/>
    <w:rsid w:val="002119EB"/>
    <w:rsid w:val="00211BB7"/>
    <w:rsid w:val="00211D5F"/>
    <w:rsid w:val="00211D8E"/>
    <w:rsid w:val="002125A5"/>
    <w:rsid w:val="00213648"/>
    <w:rsid w:val="00215074"/>
    <w:rsid w:val="0021694B"/>
    <w:rsid w:val="00216E68"/>
    <w:rsid w:val="00217084"/>
    <w:rsid w:val="002178B7"/>
    <w:rsid w:val="002179BE"/>
    <w:rsid w:val="0022052E"/>
    <w:rsid w:val="002208C9"/>
    <w:rsid w:val="0022172C"/>
    <w:rsid w:val="0022172F"/>
    <w:rsid w:val="00222A27"/>
    <w:rsid w:val="002231CF"/>
    <w:rsid w:val="002235B4"/>
    <w:rsid w:val="00223990"/>
    <w:rsid w:val="00223F6D"/>
    <w:rsid w:val="00224C87"/>
    <w:rsid w:val="0022523C"/>
    <w:rsid w:val="00225BBA"/>
    <w:rsid w:val="0022753B"/>
    <w:rsid w:val="002277CE"/>
    <w:rsid w:val="00227FA5"/>
    <w:rsid w:val="00233A20"/>
    <w:rsid w:val="00233C6F"/>
    <w:rsid w:val="00233EEB"/>
    <w:rsid w:val="002340FB"/>
    <w:rsid w:val="00234F0A"/>
    <w:rsid w:val="00236E4E"/>
    <w:rsid w:val="00237B3B"/>
    <w:rsid w:val="0024060C"/>
    <w:rsid w:val="0024072A"/>
    <w:rsid w:val="00240C77"/>
    <w:rsid w:val="002422D2"/>
    <w:rsid w:val="0024251E"/>
    <w:rsid w:val="00242D7A"/>
    <w:rsid w:val="00243324"/>
    <w:rsid w:val="0024382E"/>
    <w:rsid w:val="00243B8B"/>
    <w:rsid w:val="0024487A"/>
    <w:rsid w:val="002448D2"/>
    <w:rsid w:val="002451CC"/>
    <w:rsid w:val="0024541F"/>
    <w:rsid w:val="00245AE7"/>
    <w:rsid w:val="0024679B"/>
    <w:rsid w:val="00246966"/>
    <w:rsid w:val="00246C5B"/>
    <w:rsid w:val="002506A9"/>
    <w:rsid w:val="002527B4"/>
    <w:rsid w:val="00252EFC"/>
    <w:rsid w:val="00252FBA"/>
    <w:rsid w:val="00254232"/>
    <w:rsid w:val="002546CE"/>
    <w:rsid w:val="00254C32"/>
    <w:rsid w:val="00256012"/>
    <w:rsid w:val="00256205"/>
    <w:rsid w:val="00256F47"/>
    <w:rsid w:val="002601BD"/>
    <w:rsid w:val="002606C2"/>
    <w:rsid w:val="00260740"/>
    <w:rsid w:val="0026149D"/>
    <w:rsid w:val="002614E9"/>
    <w:rsid w:val="002619E3"/>
    <w:rsid w:val="00262981"/>
    <w:rsid w:val="0026309B"/>
    <w:rsid w:val="00264748"/>
    <w:rsid w:val="00265F57"/>
    <w:rsid w:val="00266540"/>
    <w:rsid w:val="0027107C"/>
    <w:rsid w:val="002712FB"/>
    <w:rsid w:val="00271E81"/>
    <w:rsid w:val="002720FE"/>
    <w:rsid w:val="0027255D"/>
    <w:rsid w:val="002728C1"/>
    <w:rsid w:val="002728D9"/>
    <w:rsid w:val="002738B0"/>
    <w:rsid w:val="00273AA4"/>
    <w:rsid w:val="00274143"/>
    <w:rsid w:val="002755F5"/>
    <w:rsid w:val="002757B0"/>
    <w:rsid w:val="002757E4"/>
    <w:rsid w:val="00276C0E"/>
    <w:rsid w:val="00276F67"/>
    <w:rsid w:val="0027715B"/>
    <w:rsid w:val="00277433"/>
    <w:rsid w:val="00277AF0"/>
    <w:rsid w:val="00277CBB"/>
    <w:rsid w:val="0028026D"/>
    <w:rsid w:val="00280C0C"/>
    <w:rsid w:val="00280FC1"/>
    <w:rsid w:val="00281F9E"/>
    <w:rsid w:val="002822FA"/>
    <w:rsid w:val="002844FB"/>
    <w:rsid w:val="00285092"/>
    <w:rsid w:val="002870D4"/>
    <w:rsid w:val="0029055C"/>
    <w:rsid w:val="00290930"/>
    <w:rsid w:val="00290A30"/>
    <w:rsid w:val="00291110"/>
    <w:rsid w:val="00291CB4"/>
    <w:rsid w:val="00292A63"/>
    <w:rsid w:val="00294AC2"/>
    <w:rsid w:val="00296B26"/>
    <w:rsid w:val="00296F30"/>
    <w:rsid w:val="00297C8F"/>
    <w:rsid w:val="00297CB7"/>
    <w:rsid w:val="002A1F97"/>
    <w:rsid w:val="002A24F5"/>
    <w:rsid w:val="002A2B6A"/>
    <w:rsid w:val="002A3EAF"/>
    <w:rsid w:val="002A41CB"/>
    <w:rsid w:val="002A487B"/>
    <w:rsid w:val="002A495C"/>
    <w:rsid w:val="002A49B2"/>
    <w:rsid w:val="002A50E7"/>
    <w:rsid w:val="002A5774"/>
    <w:rsid w:val="002A587E"/>
    <w:rsid w:val="002A6455"/>
    <w:rsid w:val="002A6585"/>
    <w:rsid w:val="002A6DFE"/>
    <w:rsid w:val="002A6E84"/>
    <w:rsid w:val="002A71DC"/>
    <w:rsid w:val="002A725D"/>
    <w:rsid w:val="002A7271"/>
    <w:rsid w:val="002A751D"/>
    <w:rsid w:val="002A7CFE"/>
    <w:rsid w:val="002A7D49"/>
    <w:rsid w:val="002B1441"/>
    <w:rsid w:val="002B1FE6"/>
    <w:rsid w:val="002B2E0C"/>
    <w:rsid w:val="002B3272"/>
    <w:rsid w:val="002B3B95"/>
    <w:rsid w:val="002B41E6"/>
    <w:rsid w:val="002B44C5"/>
    <w:rsid w:val="002B48A5"/>
    <w:rsid w:val="002B514C"/>
    <w:rsid w:val="002B5244"/>
    <w:rsid w:val="002B52E8"/>
    <w:rsid w:val="002B5952"/>
    <w:rsid w:val="002B5E81"/>
    <w:rsid w:val="002B6A8D"/>
    <w:rsid w:val="002C0B96"/>
    <w:rsid w:val="002C0CB2"/>
    <w:rsid w:val="002C0E22"/>
    <w:rsid w:val="002C149C"/>
    <w:rsid w:val="002C18C5"/>
    <w:rsid w:val="002C3249"/>
    <w:rsid w:val="002C4C1F"/>
    <w:rsid w:val="002C589A"/>
    <w:rsid w:val="002D00F4"/>
    <w:rsid w:val="002D029C"/>
    <w:rsid w:val="002D0365"/>
    <w:rsid w:val="002D148E"/>
    <w:rsid w:val="002D1906"/>
    <w:rsid w:val="002D2433"/>
    <w:rsid w:val="002D2576"/>
    <w:rsid w:val="002D3264"/>
    <w:rsid w:val="002D362A"/>
    <w:rsid w:val="002D3AD3"/>
    <w:rsid w:val="002D4EE2"/>
    <w:rsid w:val="002D5576"/>
    <w:rsid w:val="002D5B45"/>
    <w:rsid w:val="002D5E26"/>
    <w:rsid w:val="002D651E"/>
    <w:rsid w:val="002D7D71"/>
    <w:rsid w:val="002E0192"/>
    <w:rsid w:val="002E04DC"/>
    <w:rsid w:val="002E0853"/>
    <w:rsid w:val="002E13C9"/>
    <w:rsid w:val="002E16FE"/>
    <w:rsid w:val="002E174D"/>
    <w:rsid w:val="002E254E"/>
    <w:rsid w:val="002E537F"/>
    <w:rsid w:val="002E54A9"/>
    <w:rsid w:val="002E565F"/>
    <w:rsid w:val="002E671B"/>
    <w:rsid w:val="002E6FCB"/>
    <w:rsid w:val="002E776F"/>
    <w:rsid w:val="002E7E63"/>
    <w:rsid w:val="002F164A"/>
    <w:rsid w:val="002F1B05"/>
    <w:rsid w:val="002F1F6B"/>
    <w:rsid w:val="002F225E"/>
    <w:rsid w:val="002F235C"/>
    <w:rsid w:val="002F2C7C"/>
    <w:rsid w:val="002F45A3"/>
    <w:rsid w:val="002F50E6"/>
    <w:rsid w:val="002F52F9"/>
    <w:rsid w:val="002F5BCE"/>
    <w:rsid w:val="002F5F6F"/>
    <w:rsid w:val="002F6167"/>
    <w:rsid w:val="002F6596"/>
    <w:rsid w:val="002F6DC8"/>
    <w:rsid w:val="002F7202"/>
    <w:rsid w:val="002F7B6E"/>
    <w:rsid w:val="00301324"/>
    <w:rsid w:val="00302794"/>
    <w:rsid w:val="00302E8D"/>
    <w:rsid w:val="00302F39"/>
    <w:rsid w:val="0030375F"/>
    <w:rsid w:val="00303B5E"/>
    <w:rsid w:val="00304146"/>
    <w:rsid w:val="00304A4E"/>
    <w:rsid w:val="00304F07"/>
    <w:rsid w:val="0030553F"/>
    <w:rsid w:val="003056CB"/>
    <w:rsid w:val="003065CE"/>
    <w:rsid w:val="003103F9"/>
    <w:rsid w:val="003104A0"/>
    <w:rsid w:val="003113B4"/>
    <w:rsid w:val="003118A9"/>
    <w:rsid w:val="00311D63"/>
    <w:rsid w:val="00311FEE"/>
    <w:rsid w:val="003131A6"/>
    <w:rsid w:val="00313511"/>
    <w:rsid w:val="003139CD"/>
    <w:rsid w:val="003142AC"/>
    <w:rsid w:val="00315BC4"/>
    <w:rsid w:val="003201A2"/>
    <w:rsid w:val="00321BBA"/>
    <w:rsid w:val="00321C04"/>
    <w:rsid w:val="00321EFE"/>
    <w:rsid w:val="003224F6"/>
    <w:rsid w:val="00322721"/>
    <w:rsid w:val="003232AB"/>
    <w:rsid w:val="003240FD"/>
    <w:rsid w:val="00324430"/>
    <w:rsid w:val="003248DF"/>
    <w:rsid w:val="00324DEA"/>
    <w:rsid w:val="003266C2"/>
    <w:rsid w:val="003266D3"/>
    <w:rsid w:val="00326776"/>
    <w:rsid w:val="00326F16"/>
    <w:rsid w:val="003276CB"/>
    <w:rsid w:val="00327D81"/>
    <w:rsid w:val="00327FB7"/>
    <w:rsid w:val="00330246"/>
    <w:rsid w:val="003314A0"/>
    <w:rsid w:val="0033184F"/>
    <w:rsid w:val="003325A9"/>
    <w:rsid w:val="003337ED"/>
    <w:rsid w:val="003339D8"/>
    <w:rsid w:val="00333B59"/>
    <w:rsid w:val="0033435F"/>
    <w:rsid w:val="00334B6E"/>
    <w:rsid w:val="00335346"/>
    <w:rsid w:val="0033550C"/>
    <w:rsid w:val="003357B4"/>
    <w:rsid w:val="00335E3C"/>
    <w:rsid w:val="0033696D"/>
    <w:rsid w:val="00336F73"/>
    <w:rsid w:val="003375D1"/>
    <w:rsid w:val="003376A9"/>
    <w:rsid w:val="003377A5"/>
    <w:rsid w:val="00340D2D"/>
    <w:rsid w:val="00341199"/>
    <w:rsid w:val="00342015"/>
    <w:rsid w:val="0034299A"/>
    <w:rsid w:val="00343637"/>
    <w:rsid w:val="00343705"/>
    <w:rsid w:val="00344D09"/>
    <w:rsid w:val="00344D21"/>
    <w:rsid w:val="003453F8"/>
    <w:rsid w:val="00345F8C"/>
    <w:rsid w:val="0034698B"/>
    <w:rsid w:val="00347713"/>
    <w:rsid w:val="0034793A"/>
    <w:rsid w:val="00350796"/>
    <w:rsid w:val="00351F04"/>
    <w:rsid w:val="00352592"/>
    <w:rsid w:val="0035276F"/>
    <w:rsid w:val="00353200"/>
    <w:rsid w:val="00355396"/>
    <w:rsid w:val="00355BF1"/>
    <w:rsid w:val="00355DD9"/>
    <w:rsid w:val="0035630E"/>
    <w:rsid w:val="00357C6B"/>
    <w:rsid w:val="00357ED6"/>
    <w:rsid w:val="003604F1"/>
    <w:rsid w:val="00360B45"/>
    <w:rsid w:val="00361813"/>
    <w:rsid w:val="00362C30"/>
    <w:rsid w:val="00362ED8"/>
    <w:rsid w:val="00363670"/>
    <w:rsid w:val="00363FFA"/>
    <w:rsid w:val="0036459B"/>
    <w:rsid w:val="0036474B"/>
    <w:rsid w:val="00364CFC"/>
    <w:rsid w:val="00365A06"/>
    <w:rsid w:val="00365B61"/>
    <w:rsid w:val="003663D7"/>
    <w:rsid w:val="003672B0"/>
    <w:rsid w:val="00367A48"/>
    <w:rsid w:val="00367C6F"/>
    <w:rsid w:val="00370270"/>
    <w:rsid w:val="00370C7C"/>
    <w:rsid w:val="0037121B"/>
    <w:rsid w:val="00371B66"/>
    <w:rsid w:val="003727D8"/>
    <w:rsid w:val="0037318E"/>
    <w:rsid w:val="003737F3"/>
    <w:rsid w:val="00374078"/>
    <w:rsid w:val="0037429C"/>
    <w:rsid w:val="0037439F"/>
    <w:rsid w:val="00374845"/>
    <w:rsid w:val="00375D75"/>
    <w:rsid w:val="003762BA"/>
    <w:rsid w:val="00376795"/>
    <w:rsid w:val="003767C4"/>
    <w:rsid w:val="00376850"/>
    <w:rsid w:val="003772A9"/>
    <w:rsid w:val="00380217"/>
    <w:rsid w:val="00380FD1"/>
    <w:rsid w:val="003821E4"/>
    <w:rsid w:val="003824BF"/>
    <w:rsid w:val="00383AFC"/>
    <w:rsid w:val="00384C6D"/>
    <w:rsid w:val="00384E2F"/>
    <w:rsid w:val="00384EA3"/>
    <w:rsid w:val="0038524B"/>
    <w:rsid w:val="00385BB6"/>
    <w:rsid w:val="003867D5"/>
    <w:rsid w:val="00386F0E"/>
    <w:rsid w:val="00387321"/>
    <w:rsid w:val="003901A8"/>
    <w:rsid w:val="00390B11"/>
    <w:rsid w:val="00390DD1"/>
    <w:rsid w:val="00390FA8"/>
    <w:rsid w:val="003916A1"/>
    <w:rsid w:val="003916C7"/>
    <w:rsid w:val="00391717"/>
    <w:rsid w:val="003918D6"/>
    <w:rsid w:val="00392291"/>
    <w:rsid w:val="003923D7"/>
    <w:rsid w:val="00392AA8"/>
    <w:rsid w:val="00393F85"/>
    <w:rsid w:val="00394D34"/>
    <w:rsid w:val="00394E52"/>
    <w:rsid w:val="00394ECF"/>
    <w:rsid w:val="00396DFD"/>
    <w:rsid w:val="003977D2"/>
    <w:rsid w:val="0039785D"/>
    <w:rsid w:val="003A0664"/>
    <w:rsid w:val="003A088E"/>
    <w:rsid w:val="003A1A74"/>
    <w:rsid w:val="003A1D6C"/>
    <w:rsid w:val="003A1D93"/>
    <w:rsid w:val="003A3014"/>
    <w:rsid w:val="003A31DC"/>
    <w:rsid w:val="003A37BC"/>
    <w:rsid w:val="003A4463"/>
    <w:rsid w:val="003A477F"/>
    <w:rsid w:val="003A4803"/>
    <w:rsid w:val="003A4CBB"/>
    <w:rsid w:val="003A5420"/>
    <w:rsid w:val="003A5711"/>
    <w:rsid w:val="003A69AE"/>
    <w:rsid w:val="003A72BF"/>
    <w:rsid w:val="003A7A83"/>
    <w:rsid w:val="003B01FF"/>
    <w:rsid w:val="003B0F5A"/>
    <w:rsid w:val="003B109B"/>
    <w:rsid w:val="003B1C0A"/>
    <w:rsid w:val="003B56D0"/>
    <w:rsid w:val="003B5C83"/>
    <w:rsid w:val="003B6388"/>
    <w:rsid w:val="003B69B0"/>
    <w:rsid w:val="003B69E1"/>
    <w:rsid w:val="003B6B8E"/>
    <w:rsid w:val="003B70F3"/>
    <w:rsid w:val="003B793A"/>
    <w:rsid w:val="003B7C93"/>
    <w:rsid w:val="003B7F5F"/>
    <w:rsid w:val="003C05CD"/>
    <w:rsid w:val="003C0750"/>
    <w:rsid w:val="003C08B9"/>
    <w:rsid w:val="003C0EDA"/>
    <w:rsid w:val="003C11BF"/>
    <w:rsid w:val="003C1313"/>
    <w:rsid w:val="003C1475"/>
    <w:rsid w:val="003C1F3B"/>
    <w:rsid w:val="003C2ABB"/>
    <w:rsid w:val="003C38DD"/>
    <w:rsid w:val="003C5076"/>
    <w:rsid w:val="003C50AB"/>
    <w:rsid w:val="003C5433"/>
    <w:rsid w:val="003C553E"/>
    <w:rsid w:val="003C64F0"/>
    <w:rsid w:val="003D0903"/>
    <w:rsid w:val="003D1C21"/>
    <w:rsid w:val="003D2423"/>
    <w:rsid w:val="003D2705"/>
    <w:rsid w:val="003D2A63"/>
    <w:rsid w:val="003D2AEF"/>
    <w:rsid w:val="003D45C4"/>
    <w:rsid w:val="003D5814"/>
    <w:rsid w:val="003D66D8"/>
    <w:rsid w:val="003D69FB"/>
    <w:rsid w:val="003D6C91"/>
    <w:rsid w:val="003D7161"/>
    <w:rsid w:val="003D745A"/>
    <w:rsid w:val="003D79B1"/>
    <w:rsid w:val="003E0595"/>
    <w:rsid w:val="003E066F"/>
    <w:rsid w:val="003E068B"/>
    <w:rsid w:val="003E19B1"/>
    <w:rsid w:val="003E32AF"/>
    <w:rsid w:val="003E3C77"/>
    <w:rsid w:val="003E4571"/>
    <w:rsid w:val="003E4577"/>
    <w:rsid w:val="003E4F35"/>
    <w:rsid w:val="003E5D09"/>
    <w:rsid w:val="003E637E"/>
    <w:rsid w:val="003E6524"/>
    <w:rsid w:val="003E71F5"/>
    <w:rsid w:val="003E7564"/>
    <w:rsid w:val="003E78E4"/>
    <w:rsid w:val="003E7F90"/>
    <w:rsid w:val="003F31AB"/>
    <w:rsid w:val="003F32C0"/>
    <w:rsid w:val="003F394F"/>
    <w:rsid w:val="003F3D2E"/>
    <w:rsid w:val="003F3D53"/>
    <w:rsid w:val="003F3D82"/>
    <w:rsid w:val="003F422A"/>
    <w:rsid w:val="003F46B5"/>
    <w:rsid w:val="003F4CC2"/>
    <w:rsid w:val="003F4F95"/>
    <w:rsid w:val="003F599B"/>
    <w:rsid w:val="003F5C6E"/>
    <w:rsid w:val="004006EA"/>
    <w:rsid w:val="004008E4"/>
    <w:rsid w:val="00400B87"/>
    <w:rsid w:val="00401313"/>
    <w:rsid w:val="00401E13"/>
    <w:rsid w:val="0040207F"/>
    <w:rsid w:val="00403026"/>
    <w:rsid w:val="00403AD5"/>
    <w:rsid w:val="004040F7"/>
    <w:rsid w:val="00405617"/>
    <w:rsid w:val="00405F1D"/>
    <w:rsid w:val="00410519"/>
    <w:rsid w:val="00411AF4"/>
    <w:rsid w:val="00411C25"/>
    <w:rsid w:val="0041299D"/>
    <w:rsid w:val="00412CF8"/>
    <w:rsid w:val="00413CC2"/>
    <w:rsid w:val="00413D9F"/>
    <w:rsid w:val="004145D0"/>
    <w:rsid w:val="00414C50"/>
    <w:rsid w:val="00415A80"/>
    <w:rsid w:val="0041607D"/>
    <w:rsid w:val="004163CF"/>
    <w:rsid w:val="004169E6"/>
    <w:rsid w:val="00416DCE"/>
    <w:rsid w:val="0041783F"/>
    <w:rsid w:val="0042184F"/>
    <w:rsid w:val="004219F2"/>
    <w:rsid w:val="004225C4"/>
    <w:rsid w:val="0042308D"/>
    <w:rsid w:val="004234DF"/>
    <w:rsid w:val="00424A92"/>
    <w:rsid w:val="00424B8F"/>
    <w:rsid w:val="00425A82"/>
    <w:rsid w:val="00425C8C"/>
    <w:rsid w:val="00425E13"/>
    <w:rsid w:val="0042610F"/>
    <w:rsid w:val="0042641B"/>
    <w:rsid w:val="00426D3F"/>
    <w:rsid w:val="00426DAE"/>
    <w:rsid w:val="00427148"/>
    <w:rsid w:val="004273E1"/>
    <w:rsid w:val="004311A1"/>
    <w:rsid w:val="004313B5"/>
    <w:rsid w:val="004317CB"/>
    <w:rsid w:val="0043285C"/>
    <w:rsid w:val="00433285"/>
    <w:rsid w:val="004347F0"/>
    <w:rsid w:val="004348F6"/>
    <w:rsid w:val="00434F04"/>
    <w:rsid w:val="00435871"/>
    <w:rsid w:val="004361C8"/>
    <w:rsid w:val="004362D0"/>
    <w:rsid w:val="00436F4B"/>
    <w:rsid w:val="00437138"/>
    <w:rsid w:val="0043785F"/>
    <w:rsid w:val="004379D7"/>
    <w:rsid w:val="00437D11"/>
    <w:rsid w:val="004404EF"/>
    <w:rsid w:val="00441623"/>
    <w:rsid w:val="004417AA"/>
    <w:rsid w:val="00441BE4"/>
    <w:rsid w:val="004427AE"/>
    <w:rsid w:val="004438CF"/>
    <w:rsid w:val="00443A98"/>
    <w:rsid w:val="004442D0"/>
    <w:rsid w:val="00444B6C"/>
    <w:rsid w:val="00444F00"/>
    <w:rsid w:val="00445834"/>
    <w:rsid w:val="0044592C"/>
    <w:rsid w:val="00446EEA"/>
    <w:rsid w:val="00447251"/>
    <w:rsid w:val="00450713"/>
    <w:rsid w:val="004508F6"/>
    <w:rsid w:val="0045105A"/>
    <w:rsid w:val="00451902"/>
    <w:rsid w:val="0045258F"/>
    <w:rsid w:val="00452C36"/>
    <w:rsid w:val="00452C45"/>
    <w:rsid w:val="00453B2E"/>
    <w:rsid w:val="00454426"/>
    <w:rsid w:val="004549C7"/>
    <w:rsid w:val="00454D3B"/>
    <w:rsid w:val="0045535E"/>
    <w:rsid w:val="00456279"/>
    <w:rsid w:val="00457263"/>
    <w:rsid w:val="0046003C"/>
    <w:rsid w:val="00460788"/>
    <w:rsid w:val="004608FD"/>
    <w:rsid w:val="00461B74"/>
    <w:rsid w:val="00461D52"/>
    <w:rsid w:val="00462974"/>
    <w:rsid w:val="00463C72"/>
    <w:rsid w:val="00463FF5"/>
    <w:rsid w:val="004645E3"/>
    <w:rsid w:val="00465FED"/>
    <w:rsid w:val="004662A6"/>
    <w:rsid w:val="00466902"/>
    <w:rsid w:val="00467314"/>
    <w:rsid w:val="004675CF"/>
    <w:rsid w:val="00467885"/>
    <w:rsid w:val="00470097"/>
    <w:rsid w:val="00470B18"/>
    <w:rsid w:val="00470C5A"/>
    <w:rsid w:val="00471B2F"/>
    <w:rsid w:val="004736F3"/>
    <w:rsid w:val="0047375D"/>
    <w:rsid w:val="00474111"/>
    <w:rsid w:val="004743FD"/>
    <w:rsid w:val="00474C5C"/>
    <w:rsid w:val="00474E51"/>
    <w:rsid w:val="00475ECB"/>
    <w:rsid w:val="00476CDF"/>
    <w:rsid w:val="0047743D"/>
    <w:rsid w:val="0048046D"/>
    <w:rsid w:val="004812ED"/>
    <w:rsid w:val="00481817"/>
    <w:rsid w:val="00482489"/>
    <w:rsid w:val="00483214"/>
    <w:rsid w:val="004832F6"/>
    <w:rsid w:val="00483893"/>
    <w:rsid w:val="00483C0C"/>
    <w:rsid w:val="00483C86"/>
    <w:rsid w:val="00484563"/>
    <w:rsid w:val="0048578F"/>
    <w:rsid w:val="00486F0C"/>
    <w:rsid w:val="00486F76"/>
    <w:rsid w:val="00490367"/>
    <w:rsid w:val="00491883"/>
    <w:rsid w:val="00491AAB"/>
    <w:rsid w:val="00491BC3"/>
    <w:rsid w:val="00491F04"/>
    <w:rsid w:val="00492199"/>
    <w:rsid w:val="00493101"/>
    <w:rsid w:val="004948AE"/>
    <w:rsid w:val="00495CD0"/>
    <w:rsid w:val="004972FB"/>
    <w:rsid w:val="00497ACF"/>
    <w:rsid w:val="004A0BA2"/>
    <w:rsid w:val="004A0DD5"/>
    <w:rsid w:val="004A1368"/>
    <w:rsid w:val="004A2F45"/>
    <w:rsid w:val="004A3EB0"/>
    <w:rsid w:val="004A3F04"/>
    <w:rsid w:val="004A44E7"/>
    <w:rsid w:val="004A4B6A"/>
    <w:rsid w:val="004A5C0C"/>
    <w:rsid w:val="004A5D7C"/>
    <w:rsid w:val="004A67D9"/>
    <w:rsid w:val="004A7917"/>
    <w:rsid w:val="004B0259"/>
    <w:rsid w:val="004B237A"/>
    <w:rsid w:val="004B270B"/>
    <w:rsid w:val="004B2EDA"/>
    <w:rsid w:val="004B6263"/>
    <w:rsid w:val="004B68FD"/>
    <w:rsid w:val="004B6C4A"/>
    <w:rsid w:val="004B705E"/>
    <w:rsid w:val="004B758F"/>
    <w:rsid w:val="004B7DCA"/>
    <w:rsid w:val="004C01DA"/>
    <w:rsid w:val="004C05A4"/>
    <w:rsid w:val="004C0B4B"/>
    <w:rsid w:val="004C0FB5"/>
    <w:rsid w:val="004C1390"/>
    <w:rsid w:val="004C19C5"/>
    <w:rsid w:val="004C1A8C"/>
    <w:rsid w:val="004C284B"/>
    <w:rsid w:val="004C364C"/>
    <w:rsid w:val="004C380B"/>
    <w:rsid w:val="004C3D1B"/>
    <w:rsid w:val="004C66D0"/>
    <w:rsid w:val="004C6FF5"/>
    <w:rsid w:val="004C7A8A"/>
    <w:rsid w:val="004D033D"/>
    <w:rsid w:val="004D0A7F"/>
    <w:rsid w:val="004D0BF4"/>
    <w:rsid w:val="004D0CCF"/>
    <w:rsid w:val="004D2485"/>
    <w:rsid w:val="004D36D5"/>
    <w:rsid w:val="004D3BF4"/>
    <w:rsid w:val="004D42E7"/>
    <w:rsid w:val="004D4930"/>
    <w:rsid w:val="004D5E56"/>
    <w:rsid w:val="004D633F"/>
    <w:rsid w:val="004D72B7"/>
    <w:rsid w:val="004D7A15"/>
    <w:rsid w:val="004E0773"/>
    <w:rsid w:val="004E0CC6"/>
    <w:rsid w:val="004E0D72"/>
    <w:rsid w:val="004E0F7B"/>
    <w:rsid w:val="004E152D"/>
    <w:rsid w:val="004E1821"/>
    <w:rsid w:val="004E363C"/>
    <w:rsid w:val="004E4064"/>
    <w:rsid w:val="004E4D22"/>
    <w:rsid w:val="004E5488"/>
    <w:rsid w:val="004E568E"/>
    <w:rsid w:val="004E68A9"/>
    <w:rsid w:val="004E7C60"/>
    <w:rsid w:val="004F0492"/>
    <w:rsid w:val="004F083C"/>
    <w:rsid w:val="004F0C86"/>
    <w:rsid w:val="004F0F15"/>
    <w:rsid w:val="004F16A5"/>
    <w:rsid w:val="004F1E85"/>
    <w:rsid w:val="004F241F"/>
    <w:rsid w:val="004F246D"/>
    <w:rsid w:val="004F3428"/>
    <w:rsid w:val="004F36B9"/>
    <w:rsid w:val="004F5225"/>
    <w:rsid w:val="004F59F5"/>
    <w:rsid w:val="004F5E20"/>
    <w:rsid w:val="004F6389"/>
    <w:rsid w:val="004F71D3"/>
    <w:rsid w:val="004F7437"/>
    <w:rsid w:val="004F7A33"/>
    <w:rsid w:val="004F7BD5"/>
    <w:rsid w:val="005005BA"/>
    <w:rsid w:val="005010A3"/>
    <w:rsid w:val="00501D0F"/>
    <w:rsid w:val="00502D5B"/>
    <w:rsid w:val="005030C7"/>
    <w:rsid w:val="005036EF"/>
    <w:rsid w:val="005039D5"/>
    <w:rsid w:val="005040C6"/>
    <w:rsid w:val="00504319"/>
    <w:rsid w:val="00504B61"/>
    <w:rsid w:val="00505DE4"/>
    <w:rsid w:val="005061F1"/>
    <w:rsid w:val="00506D4D"/>
    <w:rsid w:val="0051011B"/>
    <w:rsid w:val="00510243"/>
    <w:rsid w:val="005109C6"/>
    <w:rsid w:val="005116CA"/>
    <w:rsid w:val="00511D82"/>
    <w:rsid w:val="00512150"/>
    <w:rsid w:val="00512C67"/>
    <w:rsid w:val="00513176"/>
    <w:rsid w:val="00514E43"/>
    <w:rsid w:val="005157DD"/>
    <w:rsid w:val="00515AED"/>
    <w:rsid w:val="00516723"/>
    <w:rsid w:val="00517B35"/>
    <w:rsid w:val="00517DFE"/>
    <w:rsid w:val="005203FB"/>
    <w:rsid w:val="005212AC"/>
    <w:rsid w:val="0052130D"/>
    <w:rsid w:val="005213E9"/>
    <w:rsid w:val="0052196D"/>
    <w:rsid w:val="005225E7"/>
    <w:rsid w:val="005228C9"/>
    <w:rsid w:val="005228D3"/>
    <w:rsid w:val="00522A11"/>
    <w:rsid w:val="00522A1A"/>
    <w:rsid w:val="0052300C"/>
    <w:rsid w:val="00523812"/>
    <w:rsid w:val="00523B1C"/>
    <w:rsid w:val="00525384"/>
    <w:rsid w:val="00525EFB"/>
    <w:rsid w:val="00526076"/>
    <w:rsid w:val="005263CB"/>
    <w:rsid w:val="00526A73"/>
    <w:rsid w:val="00527B10"/>
    <w:rsid w:val="00527F9A"/>
    <w:rsid w:val="005303A5"/>
    <w:rsid w:val="005304CA"/>
    <w:rsid w:val="00530E9F"/>
    <w:rsid w:val="005336B7"/>
    <w:rsid w:val="00535590"/>
    <w:rsid w:val="00536492"/>
    <w:rsid w:val="005366E0"/>
    <w:rsid w:val="00536B3C"/>
    <w:rsid w:val="00536D3E"/>
    <w:rsid w:val="00536EBD"/>
    <w:rsid w:val="00540161"/>
    <w:rsid w:val="00541772"/>
    <w:rsid w:val="005441CE"/>
    <w:rsid w:val="005449EE"/>
    <w:rsid w:val="00544D84"/>
    <w:rsid w:val="0054637D"/>
    <w:rsid w:val="005464C1"/>
    <w:rsid w:val="0054698A"/>
    <w:rsid w:val="00550794"/>
    <w:rsid w:val="00551224"/>
    <w:rsid w:val="005513D6"/>
    <w:rsid w:val="00551C54"/>
    <w:rsid w:val="0055279C"/>
    <w:rsid w:val="005531D2"/>
    <w:rsid w:val="0055546D"/>
    <w:rsid w:val="00555ED7"/>
    <w:rsid w:val="00556139"/>
    <w:rsid w:val="005563D5"/>
    <w:rsid w:val="005567BF"/>
    <w:rsid w:val="00561E1B"/>
    <w:rsid w:val="005627A5"/>
    <w:rsid w:val="00562903"/>
    <w:rsid w:val="0056312C"/>
    <w:rsid w:val="00564118"/>
    <w:rsid w:val="0056475B"/>
    <w:rsid w:val="00564A37"/>
    <w:rsid w:val="005652EE"/>
    <w:rsid w:val="005653B9"/>
    <w:rsid w:val="00565C47"/>
    <w:rsid w:val="00566429"/>
    <w:rsid w:val="005665AD"/>
    <w:rsid w:val="005671C9"/>
    <w:rsid w:val="00567776"/>
    <w:rsid w:val="00567CB4"/>
    <w:rsid w:val="00567F3F"/>
    <w:rsid w:val="00571414"/>
    <w:rsid w:val="00573BCD"/>
    <w:rsid w:val="00573CD4"/>
    <w:rsid w:val="00573E6B"/>
    <w:rsid w:val="00576C1B"/>
    <w:rsid w:val="005778B8"/>
    <w:rsid w:val="00577CBF"/>
    <w:rsid w:val="0058017C"/>
    <w:rsid w:val="00580367"/>
    <w:rsid w:val="00584637"/>
    <w:rsid w:val="0058495E"/>
    <w:rsid w:val="0058576F"/>
    <w:rsid w:val="00586E01"/>
    <w:rsid w:val="00586E62"/>
    <w:rsid w:val="005872BE"/>
    <w:rsid w:val="0058794D"/>
    <w:rsid w:val="00587BD4"/>
    <w:rsid w:val="00590CED"/>
    <w:rsid w:val="00591375"/>
    <w:rsid w:val="00593979"/>
    <w:rsid w:val="00594DB8"/>
    <w:rsid w:val="00595641"/>
    <w:rsid w:val="00595829"/>
    <w:rsid w:val="005A10C6"/>
    <w:rsid w:val="005A1708"/>
    <w:rsid w:val="005A1AAE"/>
    <w:rsid w:val="005A1D16"/>
    <w:rsid w:val="005A21E7"/>
    <w:rsid w:val="005A22D0"/>
    <w:rsid w:val="005A262C"/>
    <w:rsid w:val="005A585D"/>
    <w:rsid w:val="005A5C95"/>
    <w:rsid w:val="005A5C9A"/>
    <w:rsid w:val="005A68A1"/>
    <w:rsid w:val="005A77AF"/>
    <w:rsid w:val="005A7F7D"/>
    <w:rsid w:val="005B01B5"/>
    <w:rsid w:val="005B0D9E"/>
    <w:rsid w:val="005B11FF"/>
    <w:rsid w:val="005B1571"/>
    <w:rsid w:val="005B1872"/>
    <w:rsid w:val="005B1C61"/>
    <w:rsid w:val="005B2097"/>
    <w:rsid w:val="005B221E"/>
    <w:rsid w:val="005B2A68"/>
    <w:rsid w:val="005B38C6"/>
    <w:rsid w:val="005B483E"/>
    <w:rsid w:val="005B4B24"/>
    <w:rsid w:val="005B4DB5"/>
    <w:rsid w:val="005B5AA9"/>
    <w:rsid w:val="005B69E6"/>
    <w:rsid w:val="005B73AE"/>
    <w:rsid w:val="005B7769"/>
    <w:rsid w:val="005B77B2"/>
    <w:rsid w:val="005C045A"/>
    <w:rsid w:val="005C1D12"/>
    <w:rsid w:val="005C1F33"/>
    <w:rsid w:val="005C2008"/>
    <w:rsid w:val="005C22B7"/>
    <w:rsid w:val="005C2FCF"/>
    <w:rsid w:val="005C3421"/>
    <w:rsid w:val="005C36A5"/>
    <w:rsid w:val="005C4396"/>
    <w:rsid w:val="005C666D"/>
    <w:rsid w:val="005C6694"/>
    <w:rsid w:val="005C7CFA"/>
    <w:rsid w:val="005D1FF9"/>
    <w:rsid w:val="005D2373"/>
    <w:rsid w:val="005D244E"/>
    <w:rsid w:val="005D24A9"/>
    <w:rsid w:val="005D2873"/>
    <w:rsid w:val="005D296E"/>
    <w:rsid w:val="005D37E7"/>
    <w:rsid w:val="005D3EC8"/>
    <w:rsid w:val="005D41DB"/>
    <w:rsid w:val="005D524D"/>
    <w:rsid w:val="005D673A"/>
    <w:rsid w:val="005D713E"/>
    <w:rsid w:val="005D7825"/>
    <w:rsid w:val="005D7E71"/>
    <w:rsid w:val="005D7F5F"/>
    <w:rsid w:val="005E03C8"/>
    <w:rsid w:val="005E0AD0"/>
    <w:rsid w:val="005E0BC3"/>
    <w:rsid w:val="005E0C08"/>
    <w:rsid w:val="005E0CB2"/>
    <w:rsid w:val="005E0FDE"/>
    <w:rsid w:val="005E10D9"/>
    <w:rsid w:val="005E2B14"/>
    <w:rsid w:val="005E42BD"/>
    <w:rsid w:val="005E469E"/>
    <w:rsid w:val="005E4F3B"/>
    <w:rsid w:val="005E5DB6"/>
    <w:rsid w:val="005E5FFD"/>
    <w:rsid w:val="005F0573"/>
    <w:rsid w:val="005F0C46"/>
    <w:rsid w:val="005F0C72"/>
    <w:rsid w:val="005F143F"/>
    <w:rsid w:val="005F1DE9"/>
    <w:rsid w:val="005F1E4D"/>
    <w:rsid w:val="005F2C0A"/>
    <w:rsid w:val="005F438A"/>
    <w:rsid w:val="005F4DC2"/>
    <w:rsid w:val="005F4F88"/>
    <w:rsid w:val="005F5803"/>
    <w:rsid w:val="005F5D30"/>
    <w:rsid w:val="005F64D2"/>
    <w:rsid w:val="005F695D"/>
    <w:rsid w:val="005F6B11"/>
    <w:rsid w:val="005F7B03"/>
    <w:rsid w:val="00601A2F"/>
    <w:rsid w:val="00601E34"/>
    <w:rsid w:val="00602AAF"/>
    <w:rsid w:val="00603063"/>
    <w:rsid w:val="0060366D"/>
    <w:rsid w:val="00604795"/>
    <w:rsid w:val="00605111"/>
    <w:rsid w:val="006059E2"/>
    <w:rsid w:val="006065B9"/>
    <w:rsid w:val="00607E95"/>
    <w:rsid w:val="00610651"/>
    <w:rsid w:val="0061100C"/>
    <w:rsid w:val="0061249F"/>
    <w:rsid w:val="006125F9"/>
    <w:rsid w:val="00612864"/>
    <w:rsid w:val="00613F57"/>
    <w:rsid w:val="00614D93"/>
    <w:rsid w:val="00615CEC"/>
    <w:rsid w:val="00615E89"/>
    <w:rsid w:val="00617178"/>
    <w:rsid w:val="0061742A"/>
    <w:rsid w:val="00617565"/>
    <w:rsid w:val="006179A0"/>
    <w:rsid w:val="00621092"/>
    <w:rsid w:val="00621D4E"/>
    <w:rsid w:val="0062250F"/>
    <w:rsid w:val="0062255C"/>
    <w:rsid w:val="0062266F"/>
    <w:rsid w:val="00623992"/>
    <w:rsid w:val="00625336"/>
    <w:rsid w:val="0062570A"/>
    <w:rsid w:val="00625F93"/>
    <w:rsid w:val="0062675E"/>
    <w:rsid w:val="006278B2"/>
    <w:rsid w:val="00630EB3"/>
    <w:rsid w:val="00631511"/>
    <w:rsid w:val="00631543"/>
    <w:rsid w:val="00632470"/>
    <w:rsid w:val="00632932"/>
    <w:rsid w:val="006334A0"/>
    <w:rsid w:val="006339E9"/>
    <w:rsid w:val="00633B6E"/>
    <w:rsid w:val="00634678"/>
    <w:rsid w:val="0063468D"/>
    <w:rsid w:val="00634B9E"/>
    <w:rsid w:val="006356EB"/>
    <w:rsid w:val="0063754F"/>
    <w:rsid w:val="0063785C"/>
    <w:rsid w:val="006404BF"/>
    <w:rsid w:val="00640A24"/>
    <w:rsid w:val="00640E14"/>
    <w:rsid w:val="00640F9D"/>
    <w:rsid w:val="006411C6"/>
    <w:rsid w:val="00641649"/>
    <w:rsid w:val="00641ED2"/>
    <w:rsid w:val="0064387A"/>
    <w:rsid w:val="00644AB1"/>
    <w:rsid w:val="00644B7C"/>
    <w:rsid w:val="00645B19"/>
    <w:rsid w:val="006461B7"/>
    <w:rsid w:val="006464CF"/>
    <w:rsid w:val="00646B45"/>
    <w:rsid w:val="00646F95"/>
    <w:rsid w:val="00647896"/>
    <w:rsid w:val="006479A0"/>
    <w:rsid w:val="00650153"/>
    <w:rsid w:val="00653A90"/>
    <w:rsid w:val="00653CDA"/>
    <w:rsid w:val="00653EB4"/>
    <w:rsid w:val="00655F8D"/>
    <w:rsid w:val="00656BB2"/>
    <w:rsid w:val="00657038"/>
    <w:rsid w:val="0065797C"/>
    <w:rsid w:val="00657A39"/>
    <w:rsid w:val="00657DF1"/>
    <w:rsid w:val="00657F4F"/>
    <w:rsid w:val="00661853"/>
    <w:rsid w:val="0066205E"/>
    <w:rsid w:val="006627F1"/>
    <w:rsid w:val="00662C36"/>
    <w:rsid w:val="00663574"/>
    <w:rsid w:val="00663F1D"/>
    <w:rsid w:val="00664B1B"/>
    <w:rsid w:val="0066529D"/>
    <w:rsid w:val="00665CBA"/>
    <w:rsid w:val="006664B5"/>
    <w:rsid w:val="0066665C"/>
    <w:rsid w:val="00666EBF"/>
    <w:rsid w:val="00666F4C"/>
    <w:rsid w:val="0066737C"/>
    <w:rsid w:val="0066758C"/>
    <w:rsid w:val="0067005E"/>
    <w:rsid w:val="006700BE"/>
    <w:rsid w:val="0067073C"/>
    <w:rsid w:val="006711F1"/>
    <w:rsid w:val="00671994"/>
    <w:rsid w:val="00672155"/>
    <w:rsid w:val="0067295E"/>
    <w:rsid w:val="00672C05"/>
    <w:rsid w:val="00673462"/>
    <w:rsid w:val="006737DD"/>
    <w:rsid w:val="00673E23"/>
    <w:rsid w:val="00673F40"/>
    <w:rsid w:val="0067504E"/>
    <w:rsid w:val="006751B4"/>
    <w:rsid w:val="0067617D"/>
    <w:rsid w:val="006761A8"/>
    <w:rsid w:val="006813B9"/>
    <w:rsid w:val="00681591"/>
    <w:rsid w:val="006820DD"/>
    <w:rsid w:val="0068237C"/>
    <w:rsid w:val="006830D4"/>
    <w:rsid w:val="006851C0"/>
    <w:rsid w:val="00686204"/>
    <w:rsid w:val="00686415"/>
    <w:rsid w:val="006869C8"/>
    <w:rsid w:val="006874E2"/>
    <w:rsid w:val="00687F70"/>
    <w:rsid w:val="00691DAE"/>
    <w:rsid w:val="00692547"/>
    <w:rsid w:val="0069367B"/>
    <w:rsid w:val="00694077"/>
    <w:rsid w:val="006942BF"/>
    <w:rsid w:val="00694F21"/>
    <w:rsid w:val="00695F36"/>
    <w:rsid w:val="00696247"/>
    <w:rsid w:val="0069696E"/>
    <w:rsid w:val="00697CD8"/>
    <w:rsid w:val="006A02E9"/>
    <w:rsid w:val="006A105A"/>
    <w:rsid w:val="006A143A"/>
    <w:rsid w:val="006A1B93"/>
    <w:rsid w:val="006A1BCF"/>
    <w:rsid w:val="006A223E"/>
    <w:rsid w:val="006A3433"/>
    <w:rsid w:val="006A34A0"/>
    <w:rsid w:val="006A4009"/>
    <w:rsid w:val="006A42DD"/>
    <w:rsid w:val="006A4986"/>
    <w:rsid w:val="006A4AB6"/>
    <w:rsid w:val="006A575A"/>
    <w:rsid w:val="006A5942"/>
    <w:rsid w:val="006A6ABA"/>
    <w:rsid w:val="006A7120"/>
    <w:rsid w:val="006A7B07"/>
    <w:rsid w:val="006B029D"/>
    <w:rsid w:val="006B0E40"/>
    <w:rsid w:val="006B0FDE"/>
    <w:rsid w:val="006B1055"/>
    <w:rsid w:val="006B12A4"/>
    <w:rsid w:val="006B134F"/>
    <w:rsid w:val="006B2599"/>
    <w:rsid w:val="006B2652"/>
    <w:rsid w:val="006B2C75"/>
    <w:rsid w:val="006B386B"/>
    <w:rsid w:val="006B41BD"/>
    <w:rsid w:val="006B4326"/>
    <w:rsid w:val="006B46F5"/>
    <w:rsid w:val="006B5B83"/>
    <w:rsid w:val="006B6584"/>
    <w:rsid w:val="006B68C5"/>
    <w:rsid w:val="006B74BE"/>
    <w:rsid w:val="006C0B55"/>
    <w:rsid w:val="006C1643"/>
    <w:rsid w:val="006C3042"/>
    <w:rsid w:val="006C3999"/>
    <w:rsid w:val="006C4385"/>
    <w:rsid w:val="006C59FA"/>
    <w:rsid w:val="006C769C"/>
    <w:rsid w:val="006D01E5"/>
    <w:rsid w:val="006D06E3"/>
    <w:rsid w:val="006D0E5E"/>
    <w:rsid w:val="006D2547"/>
    <w:rsid w:val="006D4EDC"/>
    <w:rsid w:val="006D50E9"/>
    <w:rsid w:val="006D5FFB"/>
    <w:rsid w:val="006D68A5"/>
    <w:rsid w:val="006D6BAF"/>
    <w:rsid w:val="006D6F7F"/>
    <w:rsid w:val="006D7CEE"/>
    <w:rsid w:val="006D7D35"/>
    <w:rsid w:val="006E03B0"/>
    <w:rsid w:val="006E06BE"/>
    <w:rsid w:val="006E0CC6"/>
    <w:rsid w:val="006E1BF6"/>
    <w:rsid w:val="006E3BF5"/>
    <w:rsid w:val="006E3FD0"/>
    <w:rsid w:val="006E4475"/>
    <w:rsid w:val="006E6324"/>
    <w:rsid w:val="006E6DC2"/>
    <w:rsid w:val="006E6EFE"/>
    <w:rsid w:val="006F0522"/>
    <w:rsid w:val="006F0929"/>
    <w:rsid w:val="006F12E8"/>
    <w:rsid w:val="006F1E9D"/>
    <w:rsid w:val="006F37C0"/>
    <w:rsid w:val="006F3CBC"/>
    <w:rsid w:val="006F3E80"/>
    <w:rsid w:val="006F4642"/>
    <w:rsid w:val="006F48FA"/>
    <w:rsid w:val="006F519E"/>
    <w:rsid w:val="006F589C"/>
    <w:rsid w:val="006F5B13"/>
    <w:rsid w:val="006F5C8B"/>
    <w:rsid w:val="006F711E"/>
    <w:rsid w:val="007002EB"/>
    <w:rsid w:val="00700540"/>
    <w:rsid w:val="0070081D"/>
    <w:rsid w:val="00700AF9"/>
    <w:rsid w:val="007024A4"/>
    <w:rsid w:val="007024A7"/>
    <w:rsid w:val="00703857"/>
    <w:rsid w:val="00703BAC"/>
    <w:rsid w:val="00703F56"/>
    <w:rsid w:val="007041C2"/>
    <w:rsid w:val="0070422E"/>
    <w:rsid w:val="00704806"/>
    <w:rsid w:val="00704DF3"/>
    <w:rsid w:val="0070581C"/>
    <w:rsid w:val="00705946"/>
    <w:rsid w:val="00706000"/>
    <w:rsid w:val="00706AEF"/>
    <w:rsid w:val="00707453"/>
    <w:rsid w:val="007075D6"/>
    <w:rsid w:val="007077FA"/>
    <w:rsid w:val="00710E67"/>
    <w:rsid w:val="00711BBE"/>
    <w:rsid w:val="00711C81"/>
    <w:rsid w:val="007137F6"/>
    <w:rsid w:val="00713A05"/>
    <w:rsid w:val="00714019"/>
    <w:rsid w:val="00714135"/>
    <w:rsid w:val="0071443D"/>
    <w:rsid w:val="007147D9"/>
    <w:rsid w:val="00715124"/>
    <w:rsid w:val="00715B1E"/>
    <w:rsid w:val="00715B96"/>
    <w:rsid w:val="007169FC"/>
    <w:rsid w:val="00716AB0"/>
    <w:rsid w:val="00716DC6"/>
    <w:rsid w:val="00717724"/>
    <w:rsid w:val="00720A7C"/>
    <w:rsid w:val="007221F5"/>
    <w:rsid w:val="00722714"/>
    <w:rsid w:val="00722C54"/>
    <w:rsid w:val="00723547"/>
    <w:rsid w:val="00723787"/>
    <w:rsid w:val="00723DC0"/>
    <w:rsid w:val="0072422E"/>
    <w:rsid w:val="007242C9"/>
    <w:rsid w:val="00724443"/>
    <w:rsid w:val="00724768"/>
    <w:rsid w:val="00725280"/>
    <w:rsid w:val="007254E6"/>
    <w:rsid w:val="00725BE9"/>
    <w:rsid w:val="00726252"/>
    <w:rsid w:val="00726267"/>
    <w:rsid w:val="007267BE"/>
    <w:rsid w:val="00726D68"/>
    <w:rsid w:val="00726FE9"/>
    <w:rsid w:val="00727310"/>
    <w:rsid w:val="007273D5"/>
    <w:rsid w:val="00727C47"/>
    <w:rsid w:val="00730BD0"/>
    <w:rsid w:val="00731239"/>
    <w:rsid w:val="007322F5"/>
    <w:rsid w:val="007339B2"/>
    <w:rsid w:val="007339D5"/>
    <w:rsid w:val="00734621"/>
    <w:rsid w:val="0073521A"/>
    <w:rsid w:val="00735622"/>
    <w:rsid w:val="00735703"/>
    <w:rsid w:val="00735A15"/>
    <w:rsid w:val="007366FE"/>
    <w:rsid w:val="00736DAD"/>
    <w:rsid w:val="007374D2"/>
    <w:rsid w:val="0074251F"/>
    <w:rsid w:val="007425F0"/>
    <w:rsid w:val="00742D17"/>
    <w:rsid w:val="007435BF"/>
    <w:rsid w:val="007435D9"/>
    <w:rsid w:val="00743976"/>
    <w:rsid w:val="00743AF0"/>
    <w:rsid w:val="00744A1C"/>
    <w:rsid w:val="00745440"/>
    <w:rsid w:val="00745FDE"/>
    <w:rsid w:val="00746187"/>
    <w:rsid w:val="007464E4"/>
    <w:rsid w:val="00746E97"/>
    <w:rsid w:val="007470DB"/>
    <w:rsid w:val="00747469"/>
    <w:rsid w:val="0074799F"/>
    <w:rsid w:val="007500F0"/>
    <w:rsid w:val="00750BD3"/>
    <w:rsid w:val="00751C86"/>
    <w:rsid w:val="00752415"/>
    <w:rsid w:val="007525C0"/>
    <w:rsid w:val="0075353C"/>
    <w:rsid w:val="00753B2C"/>
    <w:rsid w:val="00755308"/>
    <w:rsid w:val="00755FBA"/>
    <w:rsid w:val="00756115"/>
    <w:rsid w:val="007564FF"/>
    <w:rsid w:val="00756631"/>
    <w:rsid w:val="007566B1"/>
    <w:rsid w:val="0075796C"/>
    <w:rsid w:val="0076008F"/>
    <w:rsid w:val="00760432"/>
    <w:rsid w:val="00762C36"/>
    <w:rsid w:val="0076376D"/>
    <w:rsid w:val="00766795"/>
    <w:rsid w:val="0076696C"/>
    <w:rsid w:val="00766B0E"/>
    <w:rsid w:val="00767266"/>
    <w:rsid w:val="007674AF"/>
    <w:rsid w:val="0076750B"/>
    <w:rsid w:val="00770009"/>
    <w:rsid w:val="00771FDA"/>
    <w:rsid w:val="00772888"/>
    <w:rsid w:val="0077319A"/>
    <w:rsid w:val="00774207"/>
    <w:rsid w:val="007743D2"/>
    <w:rsid w:val="00774C7A"/>
    <w:rsid w:val="007759A9"/>
    <w:rsid w:val="00775EA2"/>
    <w:rsid w:val="00776883"/>
    <w:rsid w:val="0077735C"/>
    <w:rsid w:val="00780FCB"/>
    <w:rsid w:val="00781415"/>
    <w:rsid w:val="00781F4F"/>
    <w:rsid w:val="007837D7"/>
    <w:rsid w:val="007840C2"/>
    <w:rsid w:val="00784FB2"/>
    <w:rsid w:val="00785B50"/>
    <w:rsid w:val="007862EB"/>
    <w:rsid w:val="007863B4"/>
    <w:rsid w:val="00786423"/>
    <w:rsid w:val="00786B9E"/>
    <w:rsid w:val="007870FC"/>
    <w:rsid w:val="00787819"/>
    <w:rsid w:val="00787BC5"/>
    <w:rsid w:val="00790471"/>
    <w:rsid w:val="00790767"/>
    <w:rsid w:val="007909C1"/>
    <w:rsid w:val="00792D19"/>
    <w:rsid w:val="007933C3"/>
    <w:rsid w:val="00793477"/>
    <w:rsid w:val="007935F7"/>
    <w:rsid w:val="0079490C"/>
    <w:rsid w:val="00794B3F"/>
    <w:rsid w:val="007957D6"/>
    <w:rsid w:val="0079595C"/>
    <w:rsid w:val="00795FB2"/>
    <w:rsid w:val="007968A0"/>
    <w:rsid w:val="00797FEA"/>
    <w:rsid w:val="007A068C"/>
    <w:rsid w:val="007A09E3"/>
    <w:rsid w:val="007A206C"/>
    <w:rsid w:val="007A2B05"/>
    <w:rsid w:val="007A2B63"/>
    <w:rsid w:val="007A2F25"/>
    <w:rsid w:val="007A32BD"/>
    <w:rsid w:val="007A353C"/>
    <w:rsid w:val="007A478E"/>
    <w:rsid w:val="007A4E0D"/>
    <w:rsid w:val="007A582D"/>
    <w:rsid w:val="007A5B1D"/>
    <w:rsid w:val="007A6DAB"/>
    <w:rsid w:val="007B085F"/>
    <w:rsid w:val="007B118A"/>
    <w:rsid w:val="007B181B"/>
    <w:rsid w:val="007B1EFC"/>
    <w:rsid w:val="007B221F"/>
    <w:rsid w:val="007B225D"/>
    <w:rsid w:val="007B2C13"/>
    <w:rsid w:val="007B2ED6"/>
    <w:rsid w:val="007B3EB0"/>
    <w:rsid w:val="007B429A"/>
    <w:rsid w:val="007B4499"/>
    <w:rsid w:val="007B4AD4"/>
    <w:rsid w:val="007B5D78"/>
    <w:rsid w:val="007B71ED"/>
    <w:rsid w:val="007B777F"/>
    <w:rsid w:val="007C0400"/>
    <w:rsid w:val="007C2644"/>
    <w:rsid w:val="007C2F7B"/>
    <w:rsid w:val="007C33AC"/>
    <w:rsid w:val="007C3A04"/>
    <w:rsid w:val="007C416C"/>
    <w:rsid w:val="007C4817"/>
    <w:rsid w:val="007C4A44"/>
    <w:rsid w:val="007C4CA0"/>
    <w:rsid w:val="007C502E"/>
    <w:rsid w:val="007C5656"/>
    <w:rsid w:val="007C5B7D"/>
    <w:rsid w:val="007C63FE"/>
    <w:rsid w:val="007C65FD"/>
    <w:rsid w:val="007C6A00"/>
    <w:rsid w:val="007C6C97"/>
    <w:rsid w:val="007C6FA8"/>
    <w:rsid w:val="007C6FC8"/>
    <w:rsid w:val="007C7088"/>
    <w:rsid w:val="007D034A"/>
    <w:rsid w:val="007D04A2"/>
    <w:rsid w:val="007D07C9"/>
    <w:rsid w:val="007D13FB"/>
    <w:rsid w:val="007D1E00"/>
    <w:rsid w:val="007D1ECB"/>
    <w:rsid w:val="007D219E"/>
    <w:rsid w:val="007D25DC"/>
    <w:rsid w:val="007D3550"/>
    <w:rsid w:val="007D391B"/>
    <w:rsid w:val="007D444E"/>
    <w:rsid w:val="007D47FD"/>
    <w:rsid w:val="007D5212"/>
    <w:rsid w:val="007D56CB"/>
    <w:rsid w:val="007D5FAB"/>
    <w:rsid w:val="007D6510"/>
    <w:rsid w:val="007D6682"/>
    <w:rsid w:val="007D68FE"/>
    <w:rsid w:val="007D6CFB"/>
    <w:rsid w:val="007D714B"/>
    <w:rsid w:val="007D75B9"/>
    <w:rsid w:val="007D793D"/>
    <w:rsid w:val="007E1103"/>
    <w:rsid w:val="007E219F"/>
    <w:rsid w:val="007E2349"/>
    <w:rsid w:val="007E270B"/>
    <w:rsid w:val="007E3670"/>
    <w:rsid w:val="007E3868"/>
    <w:rsid w:val="007E3A56"/>
    <w:rsid w:val="007E4109"/>
    <w:rsid w:val="007E50D8"/>
    <w:rsid w:val="007E52D2"/>
    <w:rsid w:val="007E5775"/>
    <w:rsid w:val="007E5BAE"/>
    <w:rsid w:val="007F0119"/>
    <w:rsid w:val="007F09B3"/>
    <w:rsid w:val="007F0ECB"/>
    <w:rsid w:val="007F1D05"/>
    <w:rsid w:val="007F20B7"/>
    <w:rsid w:val="007F2299"/>
    <w:rsid w:val="007F24F0"/>
    <w:rsid w:val="007F2C24"/>
    <w:rsid w:val="007F38BE"/>
    <w:rsid w:val="007F3B86"/>
    <w:rsid w:val="007F3C7D"/>
    <w:rsid w:val="007F52C1"/>
    <w:rsid w:val="007F5464"/>
    <w:rsid w:val="007F5BF9"/>
    <w:rsid w:val="007F5F65"/>
    <w:rsid w:val="007F6D23"/>
    <w:rsid w:val="007F7458"/>
    <w:rsid w:val="007F7514"/>
    <w:rsid w:val="00800D75"/>
    <w:rsid w:val="008010DB"/>
    <w:rsid w:val="008018D7"/>
    <w:rsid w:val="0080191F"/>
    <w:rsid w:val="008019F3"/>
    <w:rsid w:val="00801B45"/>
    <w:rsid w:val="00802913"/>
    <w:rsid w:val="00802B39"/>
    <w:rsid w:val="008049F9"/>
    <w:rsid w:val="00804E34"/>
    <w:rsid w:val="00805306"/>
    <w:rsid w:val="00806675"/>
    <w:rsid w:val="00807459"/>
    <w:rsid w:val="00807C7B"/>
    <w:rsid w:val="00807DEB"/>
    <w:rsid w:val="008100EC"/>
    <w:rsid w:val="0081029E"/>
    <w:rsid w:val="00810427"/>
    <w:rsid w:val="008110FF"/>
    <w:rsid w:val="008114AE"/>
    <w:rsid w:val="00811900"/>
    <w:rsid w:val="00811C28"/>
    <w:rsid w:val="00812699"/>
    <w:rsid w:val="00812E67"/>
    <w:rsid w:val="00812EEA"/>
    <w:rsid w:val="00813A95"/>
    <w:rsid w:val="008145D4"/>
    <w:rsid w:val="00814AFF"/>
    <w:rsid w:val="00815C03"/>
    <w:rsid w:val="00820412"/>
    <w:rsid w:val="00820D5D"/>
    <w:rsid w:val="008210F3"/>
    <w:rsid w:val="008229A9"/>
    <w:rsid w:val="00822D32"/>
    <w:rsid w:val="0082306D"/>
    <w:rsid w:val="0082317A"/>
    <w:rsid w:val="0082363B"/>
    <w:rsid w:val="00823873"/>
    <w:rsid w:val="00824CE7"/>
    <w:rsid w:val="008257F6"/>
    <w:rsid w:val="00826344"/>
    <w:rsid w:val="0082702D"/>
    <w:rsid w:val="0082781E"/>
    <w:rsid w:val="0083252D"/>
    <w:rsid w:val="008327A1"/>
    <w:rsid w:val="00834E03"/>
    <w:rsid w:val="00835FE6"/>
    <w:rsid w:val="008360CD"/>
    <w:rsid w:val="0083619B"/>
    <w:rsid w:val="00836C8B"/>
    <w:rsid w:val="00840345"/>
    <w:rsid w:val="008404FB"/>
    <w:rsid w:val="00840928"/>
    <w:rsid w:val="00840B1C"/>
    <w:rsid w:val="00840BDD"/>
    <w:rsid w:val="00840D5C"/>
    <w:rsid w:val="00841394"/>
    <w:rsid w:val="00842A05"/>
    <w:rsid w:val="00842BC9"/>
    <w:rsid w:val="00842C31"/>
    <w:rsid w:val="0084350F"/>
    <w:rsid w:val="00844462"/>
    <w:rsid w:val="008446F6"/>
    <w:rsid w:val="00845294"/>
    <w:rsid w:val="00845A5C"/>
    <w:rsid w:val="00845DE8"/>
    <w:rsid w:val="0084612F"/>
    <w:rsid w:val="008461B4"/>
    <w:rsid w:val="00846870"/>
    <w:rsid w:val="00847030"/>
    <w:rsid w:val="00850A39"/>
    <w:rsid w:val="00851645"/>
    <w:rsid w:val="00851F44"/>
    <w:rsid w:val="008523DA"/>
    <w:rsid w:val="008525BF"/>
    <w:rsid w:val="008528D0"/>
    <w:rsid w:val="00852A24"/>
    <w:rsid w:val="00852C47"/>
    <w:rsid w:val="00852DD6"/>
    <w:rsid w:val="00852EAE"/>
    <w:rsid w:val="00854105"/>
    <w:rsid w:val="008549C2"/>
    <w:rsid w:val="00860618"/>
    <w:rsid w:val="00860A25"/>
    <w:rsid w:val="0086147F"/>
    <w:rsid w:val="008620AA"/>
    <w:rsid w:val="00862453"/>
    <w:rsid w:val="008648AF"/>
    <w:rsid w:val="00866408"/>
    <w:rsid w:val="008674F8"/>
    <w:rsid w:val="00867B80"/>
    <w:rsid w:val="00867F6F"/>
    <w:rsid w:val="0087037B"/>
    <w:rsid w:val="00872897"/>
    <w:rsid w:val="00873432"/>
    <w:rsid w:val="00873601"/>
    <w:rsid w:val="00873A48"/>
    <w:rsid w:val="00876A39"/>
    <w:rsid w:val="00877023"/>
    <w:rsid w:val="00880BFD"/>
    <w:rsid w:val="00880C4A"/>
    <w:rsid w:val="00881BD1"/>
    <w:rsid w:val="00881CA5"/>
    <w:rsid w:val="008828E2"/>
    <w:rsid w:val="00882ECD"/>
    <w:rsid w:val="0088341E"/>
    <w:rsid w:val="00884342"/>
    <w:rsid w:val="00884648"/>
    <w:rsid w:val="0088464E"/>
    <w:rsid w:val="008846AF"/>
    <w:rsid w:val="00885FF9"/>
    <w:rsid w:val="00886AB1"/>
    <w:rsid w:val="00886F97"/>
    <w:rsid w:val="008879BD"/>
    <w:rsid w:val="00890649"/>
    <w:rsid w:val="00890CE2"/>
    <w:rsid w:val="0089269D"/>
    <w:rsid w:val="008929F1"/>
    <w:rsid w:val="00892A00"/>
    <w:rsid w:val="008935D4"/>
    <w:rsid w:val="00894337"/>
    <w:rsid w:val="00894E2D"/>
    <w:rsid w:val="00894FAA"/>
    <w:rsid w:val="00895578"/>
    <w:rsid w:val="008956FE"/>
    <w:rsid w:val="00895D1F"/>
    <w:rsid w:val="00895FE0"/>
    <w:rsid w:val="00896044"/>
    <w:rsid w:val="0089652F"/>
    <w:rsid w:val="00896879"/>
    <w:rsid w:val="00896E35"/>
    <w:rsid w:val="0089709D"/>
    <w:rsid w:val="0089791B"/>
    <w:rsid w:val="0089791C"/>
    <w:rsid w:val="008A1454"/>
    <w:rsid w:val="008A25F7"/>
    <w:rsid w:val="008A2653"/>
    <w:rsid w:val="008A33BA"/>
    <w:rsid w:val="008A4085"/>
    <w:rsid w:val="008A455C"/>
    <w:rsid w:val="008A459D"/>
    <w:rsid w:val="008A748E"/>
    <w:rsid w:val="008A7F0A"/>
    <w:rsid w:val="008B02E0"/>
    <w:rsid w:val="008B0489"/>
    <w:rsid w:val="008B063C"/>
    <w:rsid w:val="008B0848"/>
    <w:rsid w:val="008B1244"/>
    <w:rsid w:val="008B1662"/>
    <w:rsid w:val="008B1B0C"/>
    <w:rsid w:val="008B1E3F"/>
    <w:rsid w:val="008B20C3"/>
    <w:rsid w:val="008B2A53"/>
    <w:rsid w:val="008B2F01"/>
    <w:rsid w:val="008B2FE0"/>
    <w:rsid w:val="008B38B1"/>
    <w:rsid w:val="008B4801"/>
    <w:rsid w:val="008B4A36"/>
    <w:rsid w:val="008B5065"/>
    <w:rsid w:val="008B541E"/>
    <w:rsid w:val="008B70D3"/>
    <w:rsid w:val="008B726F"/>
    <w:rsid w:val="008C04B4"/>
    <w:rsid w:val="008C20A5"/>
    <w:rsid w:val="008C2179"/>
    <w:rsid w:val="008C26BD"/>
    <w:rsid w:val="008C2E7C"/>
    <w:rsid w:val="008C3148"/>
    <w:rsid w:val="008C3592"/>
    <w:rsid w:val="008C3979"/>
    <w:rsid w:val="008C41D8"/>
    <w:rsid w:val="008C53C4"/>
    <w:rsid w:val="008C5C30"/>
    <w:rsid w:val="008C6CFB"/>
    <w:rsid w:val="008D0CB8"/>
    <w:rsid w:val="008D2503"/>
    <w:rsid w:val="008D274F"/>
    <w:rsid w:val="008D3C6A"/>
    <w:rsid w:val="008D3DD9"/>
    <w:rsid w:val="008D4B89"/>
    <w:rsid w:val="008D5330"/>
    <w:rsid w:val="008D5751"/>
    <w:rsid w:val="008D6359"/>
    <w:rsid w:val="008D74E6"/>
    <w:rsid w:val="008D7726"/>
    <w:rsid w:val="008E1522"/>
    <w:rsid w:val="008E1884"/>
    <w:rsid w:val="008E2A2C"/>
    <w:rsid w:val="008E406D"/>
    <w:rsid w:val="008E484B"/>
    <w:rsid w:val="008E48B9"/>
    <w:rsid w:val="008E5D0B"/>
    <w:rsid w:val="008E5D3A"/>
    <w:rsid w:val="008E68DA"/>
    <w:rsid w:val="008F0927"/>
    <w:rsid w:val="008F0A22"/>
    <w:rsid w:val="008F0FBA"/>
    <w:rsid w:val="008F14CD"/>
    <w:rsid w:val="008F16AD"/>
    <w:rsid w:val="008F191D"/>
    <w:rsid w:val="008F1B44"/>
    <w:rsid w:val="008F24E8"/>
    <w:rsid w:val="008F27BE"/>
    <w:rsid w:val="008F35EE"/>
    <w:rsid w:val="008F3700"/>
    <w:rsid w:val="008F3DED"/>
    <w:rsid w:val="008F4DD7"/>
    <w:rsid w:val="008F50D9"/>
    <w:rsid w:val="008F623A"/>
    <w:rsid w:val="008F64E2"/>
    <w:rsid w:val="008F6725"/>
    <w:rsid w:val="008F6E51"/>
    <w:rsid w:val="008F6F36"/>
    <w:rsid w:val="008F723B"/>
    <w:rsid w:val="008F77F6"/>
    <w:rsid w:val="008F7B9A"/>
    <w:rsid w:val="008F7ECF"/>
    <w:rsid w:val="0090040A"/>
    <w:rsid w:val="009025DA"/>
    <w:rsid w:val="00902808"/>
    <w:rsid w:val="00903610"/>
    <w:rsid w:val="00905502"/>
    <w:rsid w:val="00905700"/>
    <w:rsid w:val="0090708A"/>
    <w:rsid w:val="00907801"/>
    <w:rsid w:val="00907B9B"/>
    <w:rsid w:val="00907FFE"/>
    <w:rsid w:val="00910333"/>
    <w:rsid w:val="00910A36"/>
    <w:rsid w:val="00910AD4"/>
    <w:rsid w:val="00910EB2"/>
    <w:rsid w:val="009111D8"/>
    <w:rsid w:val="00911251"/>
    <w:rsid w:val="009115D5"/>
    <w:rsid w:val="009118C2"/>
    <w:rsid w:val="00911EFD"/>
    <w:rsid w:val="009124A0"/>
    <w:rsid w:val="009147FE"/>
    <w:rsid w:val="00914AAD"/>
    <w:rsid w:val="0091614D"/>
    <w:rsid w:val="00916DF9"/>
    <w:rsid w:val="00917053"/>
    <w:rsid w:val="00917375"/>
    <w:rsid w:val="009203B5"/>
    <w:rsid w:val="0092078F"/>
    <w:rsid w:val="00920852"/>
    <w:rsid w:val="009214BC"/>
    <w:rsid w:val="00922A70"/>
    <w:rsid w:val="00922F5E"/>
    <w:rsid w:val="0092437F"/>
    <w:rsid w:val="009250A8"/>
    <w:rsid w:val="00925B9E"/>
    <w:rsid w:val="00927566"/>
    <w:rsid w:val="00927656"/>
    <w:rsid w:val="0092767A"/>
    <w:rsid w:val="00927CF2"/>
    <w:rsid w:val="009336CE"/>
    <w:rsid w:val="009338C6"/>
    <w:rsid w:val="00935457"/>
    <w:rsid w:val="009355E3"/>
    <w:rsid w:val="00935CA9"/>
    <w:rsid w:val="00937F24"/>
    <w:rsid w:val="00937F99"/>
    <w:rsid w:val="0094140C"/>
    <w:rsid w:val="009418D4"/>
    <w:rsid w:val="00942226"/>
    <w:rsid w:val="009430A3"/>
    <w:rsid w:val="00943B78"/>
    <w:rsid w:val="009444AF"/>
    <w:rsid w:val="0094645D"/>
    <w:rsid w:val="0094650A"/>
    <w:rsid w:val="00946EC9"/>
    <w:rsid w:val="0095001C"/>
    <w:rsid w:val="009505A9"/>
    <w:rsid w:val="00950BDA"/>
    <w:rsid w:val="00952A80"/>
    <w:rsid w:val="00952B85"/>
    <w:rsid w:val="00952CEA"/>
    <w:rsid w:val="00953C54"/>
    <w:rsid w:val="00954C42"/>
    <w:rsid w:val="009554E9"/>
    <w:rsid w:val="0095669F"/>
    <w:rsid w:val="009570D6"/>
    <w:rsid w:val="00957524"/>
    <w:rsid w:val="0095753C"/>
    <w:rsid w:val="0095784F"/>
    <w:rsid w:val="009613F9"/>
    <w:rsid w:val="00961A12"/>
    <w:rsid w:val="00963B64"/>
    <w:rsid w:val="00963B8C"/>
    <w:rsid w:val="00964302"/>
    <w:rsid w:val="0096462C"/>
    <w:rsid w:val="009646F7"/>
    <w:rsid w:val="00965444"/>
    <w:rsid w:val="00965525"/>
    <w:rsid w:val="009660D8"/>
    <w:rsid w:val="00967A5F"/>
    <w:rsid w:val="00971E3E"/>
    <w:rsid w:val="009729C2"/>
    <w:rsid w:val="009733F4"/>
    <w:rsid w:val="00974E33"/>
    <w:rsid w:val="00974F9F"/>
    <w:rsid w:val="00975FAF"/>
    <w:rsid w:val="009772CD"/>
    <w:rsid w:val="00977DCD"/>
    <w:rsid w:val="009806C7"/>
    <w:rsid w:val="00981306"/>
    <w:rsid w:val="009815BD"/>
    <w:rsid w:val="00981C40"/>
    <w:rsid w:val="009827B5"/>
    <w:rsid w:val="00984E95"/>
    <w:rsid w:val="00984FAD"/>
    <w:rsid w:val="009859FC"/>
    <w:rsid w:val="00986C90"/>
    <w:rsid w:val="00986DE2"/>
    <w:rsid w:val="00986F9E"/>
    <w:rsid w:val="0098769B"/>
    <w:rsid w:val="00990DE0"/>
    <w:rsid w:val="00991A73"/>
    <w:rsid w:val="00991E24"/>
    <w:rsid w:val="00992004"/>
    <w:rsid w:val="0099292B"/>
    <w:rsid w:val="00992FFC"/>
    <w:rsid w:val="00993E5B"/>
    <w:rsid w:val="00993F2A"/>
    <w:rsid w:val="00994335"/>
    <w:rsid w:val="00995819"/>
    <w:rsid w:val="00995E13"/>
    <w:rsid w:val="0099607A"/>
    <w:rsid w:val="00996315"/>
    <w:rsid w:val="00996983"/>
    <w:rsid w:val="00997BD6"/>
    <w:rsid w:val="009A0AFD"/>
    <w:rsid w:val="009A0F18"/>
    <w:rsid w:val="009A1153"/>
    <w:rsid w:val="009A160C"/>
    <w:rsid w:val="009A16DC"/>
    <w:rsid w:val="009A18E0"/>
    <w:rsid w:val="009A190D"/>
    <w:rsid w:val="009A1972"/>
    <w:rsid w:val="009A1D1E"/>
    <w:rsid w:val="009A1F5C"/>
    <w:rsid w:val="009A3C81"/>
    <w:rsid w:val="009A4307"/>
    <w:rsid w:val="009A45D4"/>
    <w:rsid w:val="009A4A95"/>
    <w:rsid w:val="009A4C80"/>
    <w:rsid w:val="009A55A9"/>
    <w:rsid w:val="009A6711"/>
    <w:rsid w:val="009A7AA1"/>
    <w:rsid w:val="009B121A"/>
    <w:rsid w:val="009B1B49"/>
    <w:rsid w:val="009B2643"/>
    <w:rsid w:val="009B2F10"/>
    <w:rsid w:val="009B4459"/>
    <w:rsid w:val="009B52F4"/>
    <w:rsid w:val="009B553B"/>
    <w:rsid w:val="009B55C4"/>
    <w:rsid w:val="009B5B81"/>
    <w:rsid w:val="009B7990"/>
    <w:rsid w:val="009C0005"/>
    <w:rsid w:val="009C0733"/>
    <w:rsid w:val="009C12E2"/>
    <w:rsid w:val="009C203C"/>
    <w:rsid w:val="009C224E"/>
    <w:rsid w:val="009C2917"/>
    <w:rsid w:val="009C291C"/>
    <w:rsid w:val="009C2955"/>
    <w:rsid w:val="009C2A40"/>
    <w:rsid w:val="009C4EDD"/>
    <w:rsid w:val="009C6984"/>
    <w:rsid w:val="009C7AC3"/>
    <w:rsid w:val="009D0295"/>
    <w:rsid w:val="009D0C3B"/>
    <w:rsid w:val="009D12E7"/>
    <w:rsid w:val="009D1509"/>
    <w:rsid w:val="009D168A"/>
    <w:rsid w:val="009D1E69"/>
    <w:rsid w:val="009D1F17"/>
    <w:rsid w:val="009D3529"/>
    <w:rsid w:val="009D506D"/>
    <w:rsid w:val="009D51A2"/>
    <w:rsid w:val="009D5E8F"/>
    <w:rsid w:val="009D6527"/>
    <w:rsid w:val="009D7A90"/>
    <w:rsid w:val="009D7B4E"/>
    <w:rsid w:val="009E040F"/>
    <w:rsid w:val="009E0507"/>
    <w:rsid w:val="009E12D3"/>
    <w:rsid w:val="009E184E"/>
    <w:rsid w:val="009E22C6"/>
    <w:rsid w:val="009E2550"/>
    <w:rsid w:val="009E3060"/>
    <w:rsid w:val="009E399F"/>
    <w:rsid w:val="009E466F"/>
    <w:rsid w:val="009E53B7"/>
    <w:rsid w:val="009E6123"/>
    <w:rsid w:val="009E6E50"/>
    <w:rsid w:val="009E6FBC"/>
    <w:rsid w:val="009E73F7"/>
    <w:rsid w:val="009E7D2F"/>
    <w:rsid w:val="009E7F0C"/>
    <w:rsid w:val="009F0330"/>
    <w:rsid w:val="009F0FEB"/>
    <w:rsid w:val="009F2119"/>
    <w:rsid w:val="009F22F6"/>
    <w:rsid w:val="009F2747"/>
    <w:rsid w:val="009F3837"/>
    <w:rsid w:val="009F4652"/>
    <w:rsid w:val="009F48B5"/>
    <w:rsid w:val="009F5186"/>
    <w:rsid w:val="009F6EEB"/>
    <w:rsid w:val="009F75F3"/>
    <w:rsid w:val="009F7963"/>
    <w:rsid w:val="009F7EAC"/>
    <w:rsid w:val="00A003FE"/>
    <w:rsid w:val="00A02100"/>
    <w:rsid w:val="00A02EC1"/>
    <w:rsid w:val="00A03556"/>
    <w:rsid w:val="00A03974"/>
    <w:rsid w:val="00A041EA"/>
    <w:rsid w:val="00A058BE"/>
    <w:rsid w:val="00A0602F"/>
    <w:rsid w:val="00A0630E"/>
    <w:rsid w:val="00A074E7"/>
    <w:rsid w:val="00A103F6"/>
    <w:rsid w:val="00A1116F"/>
    <w:rsid w:val="00A12207"/>
    <w:rsid w:val="00A122FF"/>
    <w:rsid w:val="00A124EC"/>
    <w:rsid w:val="00A12DD5"/>
    <w:rsid w:val="00A131D1"/>
    <w:rsid w:val="00A14410"/>
    <w:rsid w:val="00A14650"/>
    <w:rsid w:val="00A14ADB"/>
    <w:rsid w:val="00A14E36"/>
    <w:rsid w:val="00A15751"/>
    <w:rsid w:val="00A211AA"/>
    <w:rsid w:val="00A21554"/>
    <w:rsid w:val="00A216BF"/>
    <w:rsid w:val="00A21771"/>
    <w:rsid w:val="00A2263C"/>
    <w:rsid w:val="00A2363D"/>
    <w:rsid w:val="00A23BD2"/>
    <w:rsid w:val="00A23E80"/>
    <w:rsid w:val="00A24EE5"/>
    <w:rsid w:val="00A25CC3"/>
    <w:rsid w:val="00A25CCE"/>
    <w:rsid w:val="00A25CF5"/>
    <w:rsid w:val="00A262E0"/>
    <w:rsid w:val="00A26523"/>
    <w:rsid w:val="00A271B3"/>
    <w:rsid w:val="00A2739B"/>
    <w:rsid w:val="00A278D9"/>
    <w:rsid w:val="00A30B41"/>
    <w:rsid w:val="00A3288F"/>
    <w:rsid w:val="00A32FCC"/>
    <w:rsid w:val="00A33134"/>
    <w:rsid w:val="00A33454"/>
    <w:rsid w:val="00A340F0"/>
    <w:rsid w:val="00A3457B"/>
    <w:rsid w:val="00A34B6E"/>
    <w:rsid w:val="00A3575C"/>
    <w:rsid w:val="00A3593C"/>
    <w:rsid w:val="00A367FE"/>
    <w:rsid w:val="00A3786C"/>
    <w:rsid w:val="00A4094F"/>
    <w:rsid w:val="00A40E6D"/>
    <w:rsid w:val="00A41B59"/>
    <w:rsid w:val="00A42615"/>
    <w:rsid w:val="00A428A0"/>
    <w:rsid w:val="00A43B44"/>
    <w:rsid w:val="00A43E8F"/>
    <w:rsid w:val="00A43EA5"/>
    <w:rsid w:val="00A446C7"/>
    <w:rsid w:val="00A4499A"/>
    <w:rsid w:val="00A44C36"/>
    <w:rsid w:val="00A45290"/>
    <w:rsid w:val="00A45877"/>
    <w:rsid w:val="00A45D5B"/>
    <w:rsid w:val="00A45E77"/>
    <w:rsid w:val="00A46CD8"/>
    <w:rsid w:val="00A47803"/>
    <w:rsid w:val="00A47E67"/>
    <w:rsid w:val="00A52AFB"/>
    <w:rsid w:val="00A53B5D"/>
    <w:rsid w:val="00A545CB"/>
    <w:rsid w:val="00A54A47"/>
    <w:rsid w:val="00A55600"/>
    <w:rsid w:val="00A55B3E"/>
    <w:rsid w:val="00A56E4C"/>
    <w:rsid w:val="00A56F3C"/>
    <w:rsid w:val="00A57171"/>
    <w:rsid w:val="00A576BE"/>
    <w:rsid w:val="00A6027E"/>
    <w:rsid w:val="00A602C2"/>
    <w:rsid w:val="00A60AE2"/>
    <w:rsid w:val="00A611C8"/>
    <w:rsid w:val="00A615A1"/>
    <w:rsid w:val="00A626DD"/>
    <w:rsid w:val="00A62B7A"/>
    <w:rsid w:val="00A63504"/>
    <w:rsid w:val="00A63777"/>
    <w:rsid w:val="00A64AB5"/>
    <w:rsid w:val="00A64CBB"/>
    <w:rsid w:val="00A652C0"/>
    <w:rsid w:val="00A652FC"/>
    <w:rsid w:val="00A66E7F"/>
    <w:rsid w:val="00A6725C"/>
    <w:rsid w:val="00A67DE3"/>
    <w:rsid w:val="00A70858"/>
    <w:rsid w:val="00A70E33"/>
    <w:rsid w:val="00A712F4"/>
    <w:rsid w:val="00A7186E"/>
    <w:rsid w:val="00A73545"/>
    <w:rsid w:val="00A74041"/>
    <w:rsid w:val="00A75982"/>
    <w:rsid w:val="00A75DA7"/>
    <w:rsid w:val="00A77D38"/>
    <w:rsid w:val="00A77E69"/>
    <w:rsid w:val="00A803B2"/>
    <w:rsid w:val="00A8094D"/>
    <w:rsid w:val="00A81DF0"/>
    <w:rsid w:val="00A82032"/>
    <w:rsid w:val="00A825A6"/>
    <w:rsid w:val="00A82B5E"/>
    <w:rsid w:val="00A83241"/>
    <w:rsid w:val="00A83975"/>
    <w:rsid w:val="00A83A8C"/>
    <w:rsid w:val="00A83F30"/>
    <w:rsid w:val="00A843B6"/>
    <w:rsid w:val="00A8478E"/>
    <w:rsid w:val="00A85164"/>
    <w:rsid w:val="00A8582B"/>
    <w:rsid w:val="00A87654"/>
    <w:rsid w:val="00A90F56"/>
    <w:rsid w:val="00A924BB"/>
    <w:rsid w:val="00A93DFC"/>
    <w:rsid w:val="00A94F8F"/>
    <w:rsid w:val="00A95772"/>
    <w:rsid w:val="00A95C34"/>
    <w:rsid w:val="00A9667E"/>
    <w:rsid w:val="00A974C8"/>
    <w:rsid w:val="00A97BD1"/>
    <w:rsid w:val="00AA0A7D"/>
    <w:rsid w:val="00AA11D9"/>
    <w:rsid w:val="00AA13C2"/>
    <w:rsid w:val="00AA19AA"/>
    <w:rsid w:val="00AA2278"/>
    <w:rsid w:val="00AA27C4"/>
    <w:rsid w:val="00AA2E1A"/>
    <w:rsid w:val="00AA3573"/>
    <w:rsid w:val="00AA3FF3"/>
    <w:rsid w:val="00AA68A9"/>
    <w:rsid w:val="00AA7DB7"/>
    <w:rsid w:val="00AB03EC"/>
    <w:rsid w:val="00AB09C4"/>
    <w:rsid w:val="00AB1F41"/>
    <w:rsid w:val="00AB2A67"/>
    <w:rsid w:val="00AB2D77"/>
    <w:rsid w:val="00AB2EF5"/>
    <w:rsid w:val="00AB3CE3"/>
    <w:rsid w:val="00AB4CAB"/>
    <w:rsid w:val="00AB5D25"/>
    <w:rsid w:val="00AB6032"/>
    <w:rsid w:val="00AB632E"/>
    <w:rsid w:val="00AB72D6"/>
    <w:rsid w:val="00AB7CE7"/>
    <w:rsid w:val="00AC05A6"/>
    <w:rsid w:val="00AC0A36"/>
    <w:rsid w:val="00AC1A1E"/>
    <w:rsid w:val="00AC2B56"/>
    <w:rsid w:val="00AC2DD8"/>
    <w:rsid w:val="00AC2F8C"/>
    <w:rsid w:val="00AC4498"/>
    <w:rsid w:val="00AC4CC6"/>
    <w:rsid w:val="00AC7B16"/>
    <w:rsid w:val="00AD025A"/>
    <w:rsid w:val="00AD03CE"/>
    <w:rsid w:val="00AD1153"/>
    <w:rsid w:val="00AD2138"/>
    <w:rsid w:val="00AD2412"/>
    <w:rsid w:val="00AD249E"/>
    <w:rsid w:val="00AD2A7F"/>
    <w:rsid w:val="00AD2D7B"/>
    <w:rsid w:val="00AD34B3"/>
    <w:rsid w:val="00AD3C14"/>
    <w:rsid w:val="00AD3D81"/>
    <w:rsid w:val="00AD45B7"/>
    <w:rsid w:val="00AD4B0B"/>
    <w:rsid w:val="00AD4B97"/>
    <w:rsid w:val="00AD4E95"/>
    <w:rsid w:val="00AD6139"/>
    <w:rsid w:val="00AD66FD"/>
    <w:rsid w:val="00AD7405"/>
    <w:rsid w:val="00AD747C"/>
    <w:rsid w:val="00AD784F"/>
    <w:rsid w:val="00AD79E9"/>
    <w:rsid w:val="00AE103F"/>
    <w:rsid w:val="00AE15B9"/>
    <w:rsid w:val="00AE1B0D"/>
    <w:rsid w:val="00AE1DF7"/>
    <w:rsid w:val="00AE3900"/>
    <w:rsid w:val="00AE406C"/>
    <w:rsid w:val="00AE48F9"/>
    <w:rsid w:val="00AE4A08"/>
    <w:rsid w:val="00AE53E3"/>
    <w:rsid w:val="00AE554E"/>
    <w:rsid w:val="00AE5B0B"/>
    <w:rsid w:val="00AE5D45"/>
    <w:rsid w:val="00AE5E1D"/>
    <w:rsid w:val="00AE6831"/>
    <w:rsid w:val="00AE69CE"/>
    <w:rsid w:val="00AE6BE5"/>
    <w:rsid w:val="00AE6E6C"/>
    <w:rsid w:val="00AE7536"/>
    <w:rsid w:val="00AF0A16"/>
    <w:rsid w:val="00AF0C1C"/>
    <w:rsid w:val="00AF33EC"/>
    <w:rsid w:val="00AF3C43"/>
    <w:rsid w:val="00AF4249"/>
    <w:rsid w:val="00AF45AC"/>
    <w:rsid w:val="00AF5222"/>
    <w:rsid w:val="00AF56A8"/>
    <w:rsid w:val="00AF7083"/>
    <w:rsid w:val="00AF7B32"/>
    <w:rsid w:val="00B00B54"/>
    <w:rsid w:val="00B0118A"/>
    <w:rsid w:val="00B01A61"/>
    <w:rsid w:val="00B033DB"/>
    <w:rsid w:val="00B03445"/>
    <w:rsid w:val="00B03B8A"/>
    <w:rsid w:val="00B0444F"/>
    <w:rsid w:val="00B045B1"/>
    <w:rsid w:val="00B04DD4"/>
    <w:rsid w:val="00B055B9"/>
    <w:rsid w:val="00B05696"/>
    <w:rsid w:val="00B05CFE"/>
    <w:rsid w:val="00B065C2"/>
    <w:rsid w:val="00B07503"/>
    <w:rsid w:val="00B076AF"/>
    <w:rsid w:val="00B07E89"/>
    <w:rsid w:val="00B105A0"/>
    <w:rsid w:val="00B108B4"/>
    <w:rsid w:val="00B1179B"/>
    <w:rsid w:val="00B11C26"/>
    <w:rsid w:val="00B11E30"/>
    <w:rsid w:val="00B14038"/>
    <w:rsid w:val="00B1416F"/>
    <w:rsid w:val="00B15501"/>
    <w:rsid w:val="00B15533"/>
    <w:rsid w:val="00B15B32"/>
    <w:rsid w:val="00B15CC7"/>
    <w:rsid w:val="00B166C4"/>
    <w:rsid w:val="00B16BF7"/>
    <w:rsid w:val="00B17747"/>
    <w:rsid w:val="00B17BD3"/>
    <w:rsid w:val="00B17CB5"/>
    <w:rsid w:val="00B208D4"/>
    <w:rsid w:val="00B20A8B"/>
    <w:rsid w:val="00B20B42"/>
    <w:rsid w:val="00B20F42"/>
    <w:rsid w:val="00B21185"/>
    <w:rsid w:val="00B21668"/>
    <w:rsid w:val="00B22092"/>
    <w:rsid w:val="00B224F8"/>
    <w:rsid w:val="00B22895"/>
    <w:rsid w:val="00B22B95"/>
    <w:rsid w:val="00B23454"/>
    <w:rsid w:val="00B2383E"/>
    <w:rsid w:val="00B23FBE"/>
    <w:rsid w:val="00B240AB"/>
    <w:rsid w:val="00B24A9C"/>
    <w:rsid w:val="00B24E1E"/>
    <w:rsid w:val="00B25550"/>
    <w:rsid w:val="00B266A8"/>
    <w:rsid w:val="00B26893"/>
    <w:rsid w:val="00B27134"/>
    <w:rsid w:val="00B2757B"/>
    <w:rsid w:val="00B30779"/>
    <w:rsid w:val="00B3082D"/>
    <w:rsid w:val="00B30AE7"/>
    <w:rsid w:val="00B30BAB"/>
    <w:rsid w:val="00B3118D"/>
    <w:rsid w:val="00B31956"/>
    <w:rsid w:val="00B31CEB"/>
    <w:rsid w:val="00B32CEF"/>
    <w:rsid w:val="00B3312D"/>
    <w:rsid w:val="00B356FE"/>
    <w:rsid w:val="00B35D0B"/>
    <w:rsid w:val="00B36A7F"/>
    <w:rsid w:val="00B36B44"/>
    <w:rsid w:val="00B36F5E"/>
    <w:rsid w:val="00B36FED"/>
    <w:rsid w:val="00B3732F"/>
    <w:rsid w:val="00B3733E"/>
    <w:rsid w:val="00B40A5B"/>
    <w:rsid w:val="00B41525"/>
    <w:rsid w:val="00B4156C"/>
    <w:rsid w:val="00B42116"/>
    <w:rsid w:val="00B42237"/>
    <w:rsid w:val="00B42810"/>
    <w:rsid w:val="00B428CD"/>
    <w:rsid w:val="00B42ABE"/>
    <w:rsid w:val="00B42F95"/>
    <w:rsid w:val="00B45DE7"/>
    <w:rsid w:val="00B46079"/>
    <w:rsid w:val="00B51CB5"/>
    <w:rsid w:val="00B52434"/>
    <w:rsid w:val="00B53C34"/>
    <w:rsid w:val="00B53ED3"/>
    <w:rsid w:val="00B5435D"/>
    <w:rsid w:val="00B55A0B"/>
    <w:rsid w:val="00B56AE0"/>
    <w:rsid w:val="00B56EDD"/>
    <w:rsid w:val="00B57845"/>
    <w:rsid w:val="00B579EE"/>
    <w:rsid w:val="00B57A9C"/>
    <w:rsid w:val="00B6027A"/>
    <w:rsid w:val="00B607FF"/>
    <w:rsid w:val="00B611CF"/>
    <w:rsid w:val="00B62C24"/>
    <w:rsid w:val="00B64574"/>
    <w:rsid w:val="00B646DE"/>
    <w:rsid w:val="00B649F5"/>
    <w:rsid w:val="00B64C4A"/>
    <w:rsid w:val="00B64ECA"/>
    <w:rsid w:val="00B64FDA"/>
    <w:rsid w:val="00B657B8"/>
    <w:rsid w:val="00B66614"/>
    <w:rsid w:val="00B666F9"/>
    <w:rsid w:val="00B67943"/>
    <w:rsid w:val="00B67CE9"/>
    <w:rsid w:val="00B707FD"/>
    <w:rsid w:val="00B712F7"/>
    <w:rsid w:val="00B71449"/>
    <w:rsid w:val="00B717E7"/>
    <w:rsid w:val="00B72E09"/>
    <w:rsid w:val="00B733E2"/>
    <w:rsid w:val="00B73B57"/>
    <w:rsid w:val="00B74ACD"/>
    <w:rsid w:val="00B754C4"/>
    <w:rsid w:val="00B75A04"/>
    <w:rsid w:val="00B75DDE"/>
    <w:rsid w:val="00B75FAB"/>
    <w:rsid w:val="00B76421"/>
    <w:rsid w:val="00B80992"/>
    <w:rsid w:val="00B80D53"/>
    <w:rsid w:val="00B80E85"/>
    <w:rsid w:val="00B813EA"/>
    <w:rsid w:val="00B81413"/>
    <w:rsid w:val="00B81495"/>
    <w:rsid w:val="00B815F7"/>
    <w:rsid w:val="00B82FD1"/>
    <w:rsid w:val="00B844D3"/>
    <w:rsid w:val="00B84522"/>
    <w:rsid w:val="00B8470F"/>
    <w:rsid w:val="00B84EAC"/>
    <w:rsid w:val="00B8510E"/>
    <w:rsid w:val="00B85231"/>
    <w:rsid w:val="00B8540F"/>
    <w:rsid w:val="00B85C29"/>
    <w:rsid w:val="00B85E56"/>
    <w:rsid w:val="00B85F62"/>
    <w:rsid w:val="00B87068"/>
    <w:rsid w:val="00B8729D"/>
    <w:rsid w:val="00B90BC2"/>
    <w:rsid w:val="00B90F1E"/>
    <w:rsid w:val="00B92084"/>
    <w:rsid w:val="00B922A3"/>
    <w:rsid w:val="00B927AF"/>
    <w:rsid w:val="00B92992"/>
    <w:rsid w:val="00B92B07"/>
    <w:rsid w:val="00B9316D"/>
    <w:rsid w:val="00B939A2"/>
    <w:rsid w:val="00B93FAA"/>
    <w:rsid w:val="00B950EF"/>
    <w:rsid w:val="00B95567"/>
    <w:rsid w:val="00B95598"/>
    <w:rsid w:val="00B95E2F"/>
    <w:rsid w:val="00B95FB5"/>
    <w:rsid w:val="00BA091A"/>
    <w:rsid w:val="00BA124E"/>
    <w:rsid w:val="00BA1962"/>
    <w:rsid w:val="00BA28BC"/>
    <w:rsid w:val="00BA2AE4"/>
    <w:rsid w:val="00BA2E44"/>
    <w:rsid w:val="00BA310D"/>
    <w:rsid w:val="00BA3B22"/>
    <w:rsid w:val="00BA3D36"/>
    <w:rsid w:val="00BA5F57"/>
    <w:rsid w:val="00BA63B0"/>
    <w:rsid w:val="00BA7240"/>
    <w:rsid w:val="00BA79A2"/>
    <w:rsid w:val="00BB03CB"/>
    <w:rsid w:val="00BB0954"/>
    <w:rsid w:val="00BB163C"/>
    <w:rsid w:val="00BB2A4A"/>
    <w:rsid w:val="00BB3966"/>
    <w:rsid w:val="00BB3D0D"/>
    <w:rsid w:val="00BB3E72"/>
    <w:rsid w:val="00BB4E21"/>
    <w:rsid w:val="00BB51B9"/>
    <w:rsid w:val="00BB5B76"/>
    <w:rsid w:val="00BB65A8"/>
    <w:rsid w:val="00BB6CA6"/>
    <w:rsid w:val="00BC2606"/>
    <w:rsid w:val="00BC2E30"/>
    <w:rsid w:val="00BC3E53"/>
    <w:rsid w:val="00BC402D"/>
    <w:rsid w:val="00BC664D"/>
    <w:rsid w:val="00BC6A69"/>
    <w:rsid w:val="00BC7C09"/>
    <w:rsid w:val="00BD0972"/>
    <w:rsid w:val="00BD12FC"/>
    <w:rsid w:val="00BD18A5"/>
    <w:rsid w:val="00BD248B"/>
    <w:rsid w:val="00BD3078"/>
    <w:rsid w:val="00BD3AD8"/>
    <w:rsid w:val="00BD414E"/>
    <w:rsid w:val="00BD41F1"/>
    <w:rsid w:val="00BD457E"/>
    <w:rsid w:val="00BD60E0"/>
    <w:rsid w:val="00BD7014"/>
    <w:rsid w:val="00BD72B7"/>
    <w:rsid w:val="00BE0EB0"/>
    <w:rsid w:val="00BE103B"/>
    <w:rsid w:val="00BE12AB"/>
    <w:rsid w:val="00BE1364"/>
    <w:rsid w:val="00BE340E"/>
    <w:rsid w:val="00BE40A1"/>
    <w:rsid w:val="00BE4413"/>
    <w:rsid w:val="00BE47C3"/>
    <w:rsid w:val="00BE4ABB"/>
    <w:rsid w:val="00BE4ACD"/>
    <w:rsid w:val="00BE4AEF"/>
    <w:rsid w:val="00BE5C14"/>
    <w:rsid w:val="00BE5D61"/>
    <w:rsid w:val="00BE6449"/>
    <w:rsid w:val="00BE72D7"/>
    <w:rsid w:val="00BE7EEA"/>
    <w:rsid w:val="00BF0507"/>
    <w:rsid w:val="00BF0B9B"/>
    <w:rsid w:val="00BF10B8"/>
    <w:rsid w:val="00BF12E4"/>
    <w:rsid w:val="00BF132E"/>
    <w:rsid w:val="00BF1386"/>
    <w:rsid w:val="00BF17F3"/>
    <w:rsid w:val="00BF1B49"/>
    <w:rsid w:val="00BF5B28"/>
    <w:rsid w:val="00BF5F36"/>
    <w:rsid w:val="00BF759E"/>
    <w:rsid w:val="00BF7D07"/>
    <w:rsid w:val="00BF7D97"/>
    <w:rsid w:val="00C00269"/>
    <w:rsid w:val="00C00731"/>
    <w:rsid w:val="00C00F37"/>
    <w:rsid w:val="00C01CB1"/>
    <w:rsid w:val="00C02303"/>
    <w:rsid w:val="00C023CF"/>
    <w:rsid w:val="00C0272B"/>
    <w:rsid w:val="00C02909"/>
    <w:rsid w:val="00C03592"/>
    <w:rsid w:val="00C0391E"/>
    <w:rsid w:val="00C039E9"/>
    <w:rsid w:val="00C03D8C"/>
    <w:rsid w:val="00C06EBC"/>
    <w:rsid w:val="00C07BC5"/>
    <w:rsid w:val="00C10DDF"/>
    <w:rsid w:val="00C10E80"/>
    <w:rsid w:val="00C123A2"/>
    <w:rsid w:val="00C12512"/>
    <w:rsid w:val="00C12946"/>
    <w:rsid w:val="00C12DD1"/>
    <w:rsid w:val="00C1302F"/>
    <w:rsid w:val="00C13B7C"/>
    <w:rsid w:val="00C146E4"/>
    <w:rsid w:val="00C14D5D"/>
    <w:rsid w:val="00C1555A"/>
    <w:rsid w:val="00C155EF"/>
    <w:rsid w:val="00C15FF6"/>
    <w:rsid w:val="00C16238"/>
    <w:rsid w:val="00C168F3"/>
    <w:rsid w:val="00C16B47"/>
    <w:rsid w:val="00C16DA5"/>
    <w:rsid w:val="00C17D48"/>
    <w:rsid w:val="00C21398"/>
    <w:rsid w:val="00C21ED9"/>
    <w:rsid w:val="00C224C1"/>
    <w:rsid w:val="00C22FA6"/>
    <w:rsid w:val="00C238DC"/>
    <w:rsid w:val="00C246E9"/>
    <w:rsid w:val="00C253B5"/>
    <w:rsid w:val="00C30CCE"/>
    <w:rsid w:val="00C315E8"/>
    <w:rsid w:val="00C322D2"/>
    <w:rsid w:val="00C325D0"/>
    <w:rsid w:val="00C33754"/>
    <w:rsid w:val="00C344A6"/>
    <w:rsid w:val="00C351B2"/>
    <w:rsid w:val="00C37580"/>
    <w:rsid w:val="00C376E2"/>
    <w:rsid w:val="00C37E20"/>
    <w:rsid w:val="00C37F1C"/>
    <w:rsid w:val="00C4072E"/>
    <w:rsid w:val="00C421CF"/>
    <w:rsid w:val="00C42D50"/>
    <w:rsid w:val="00C43B71"/>
    <w:rsid w:val="00C441E2"/>
    <w:rsid w:val="00C44889"/>
    <w:rsid w:val="00C45105"/>
    <w:rsid w:val="00C4513C"/>
    <w:rsid w:val="00C453AC"/>
    <w:rsid w:val="00C45DBF"/>
    <w:rsid w:val="00C46A75"/>
    <w:rsid w:val="00C47F9A"/>
    <w:rsid w:val="00C5002A"/>
    <w:rsid w:val="00C500F7"/>
    <w:rsid w:val="00C54534"/>
    <w:rsid w:val="00C559BE"/>
    <w:rsid w:val="00C55EDE"/>
    <w:rsid w:val="00C5618A"/>
    <w:rsid w:val="00C56A5C"/>
    <w:rsid w:val="00C6005D"/>
    <w:rsid w:val="00C60280"/>
    <w:rsid w:val="00C60879"/>
    <w:rsid w:val="00C60EE0"/>
    <w:rsid w:val="00C6112C"/>
    <w:rsid w:val="00C64623"/>
    <w:rsid w:val="00C651B1"/>
    <w:rsid w:val="00C6642C"/>
    <w:rsid w:val="00C6760B"/>
    <w:rsid w:val="00C6797F"/>
    <w:rsid w:val="00C70AD6"/>
    <w:rsid w:val="00C71235"/>
    <w:rsid w:val="00C71C8C"/>
    <w:rsid w:val="00C71DA0"/>
    <w:rsid w:val="00C71EDD"/>
    <w:rsid w:val="00C71F24"/>
    <w:rsid w:val="00C72206"/>
    <w:rsid w:val="00C72B5B"/>
    <w:rsid w:val="00C72C1D"/>
    <w:rsid w:val="00C72F62"/>
    <w:rsid w:val="00C73A6C"/>
    <w:rsid w:val="00C73AFC"/>
    <w:rsid w:val="00C73C9A"/>
    <w:rsid w:val="00C73F97"/>
    <w:rsid w:val="00C75A47"/>
    <w:rsid w:val="00C75C29"/>
    <w:rsid w:val="00C75F58"/>
    <w:rsid w:val="00C77A5C"/>
    <w:rsid w:val="00C813F1"/>
    <w:rsid w:val="00C81AB4"/>
    <w:rsid w:val="00C81BB5"/>
    <w:rsid w:val="00C81EE0"/>
    <w:rsid w:val="00C82867"/>
    <w:rsid w:val="00C8359C"/>
    <w:rsid w:val="00C83FF6"/>
    <w:rsid w:val="00C850D1"/>
    <w:rsid w:val="00C852CC"/>
    <w:rsid w:val="00C85550"/>
    <w:rsid w:val="00C8598F"/>
    <w:rsid w:val="00C86A83"/>
    <w:rsid w:val="00C86E3A"/>
    <w:rsid w:val="00C87BBA"/>
    <w:rsid w:val="00C87F0D"/>
    <w:rsid w:val="00C900C0"/>
    <w:rsid w:val="00C9044A"/>
    <w:rsid w:val="00C907EC"/>
    <w:rsid w:val="00C90C94"/>
    <w:rsid w:val="00C91534"/>
    <w:rsid w:val="00C9195B"/>
    <w:rsid w:val="00C93483"/>
    <w:rsid w:val="00C93908"/>
    <w:rsid w:val="00C93DBB"/>
    <w:rsid w:val="00C93F59"/>
    <w:rsid w:val="00C94761"/>
    <w:rsid w:val="00C94E34"/>
    <w:rsid w:val="00C95282"/>
    <w:rsid w:val="00C953DF"/>
    <w:rsid w:val="00C965BE"/>
    <w:rsid w:val="00C972CB"/>
    <w:rsid w:val="00C976A5"/>
    <w:rsid w:val="00C97BD5"/>
    <w:rsid w:val="00C97D65"/>
    <w:rsid w:val="00CA00A5"/>
    <w:rsid w:val="00CA0860"/>
    <w:rsid w:val="00CA097E"/>
    <w:rsid w:val="00CA0A76"/>
    <w:rsid w:val="00CA198F"/>
    <w:rsid w:val="00CA1993"/>
    <w:rsid w:val="00CA1C78"/>
    <w:rsid w:val="00CA1D6B"/>
    <w:rsid w:val="00CA292E"/>
    <w:rsid w:val="00CA2B4F"/>
    <w:rsid w:val="00CA3838"/>
    <w:rsid w:val="00CA3E6E"/>
    <w:rsid w:val="00CA4693"/>
    <w:rsid w:val="00CA4DE8"/>
    <w:rsid w:val="00CA5E9F"/>
    <w:rsid w:val="00CA6342"/>
    <w:rsid w:val="00CA64BD"/>
    <w:rsid w:val="00CA6623"/>
    <w:rsid w:val="00CB072A"/>
    <w:rsid w:val="00CB08FA"/>
    <w:rsid w:val="00CB0B18"/>
    <w:rsid w:val="00CB2AE1"/>
    <w:rsid w:val="00CB3477"/>
    <w:rsid w:val="00CB4DEC"/>
    <w:rsid w:val="00CB4DFE"/>
    <w:rsid w:val="00CB5053"/>
    <w:rsid w:val="00CB56A1"/>
    <w:rsid w:val="00CB5DA3"/>
    <w:rsid w:val="00CB618E"/>
    <w:rsid w:val="00CB6577"/>
    <w:rsid w:val="00CB713F"/>
    <w:rsid w:val="00CB79E7"/>
    <w:rsid w:val="00CC0006"/>
    <w:rsid w:val="00CC0060"/>
    <w:rsid w:val="00CC0A40"/>
    <w:rsid w:val="00CC17E2"/>
    <w:rsid w:val="00CC2492"/>
    <w:rsid w:val="00CC2E2E"/>
    <w:rsid w:val="00CC3137"/>
    <w:rsid w:val="00CC31BD"/>
    <w:rsid w:val="00CC378A"/>
    <w:rsid w:val="00CC37D9"/>
    <w:rsid w:val="00CC3EFF"/>
    <w:rsid w:val="00CC49B5"/>
    <w:rsid w:val="00CC6B02"/>
    <w:rsid w:val="00CC6C9A"/>
    <w:rsid w:val="00CC7DCF"/>
    <w:rsid w:val="00CD1669"/>
    <w:rsid w:val="00CD1E7B"/>
    <w:rsid w:val="00CD214F"/>
    <w:rsid w:val="00CD3CD3"/>
    <w:rsid w:val="00CD4626"/>
    <w:rsid w:val="00CD485F"/>
    <w:rsid w:val="00CD5DDB"/>
    <w:rsid w:val="00CD6684"/>
    <w:rsid w:val="00CD6B12"/>
    <w:rsid w:val="00CD7B9B"/>
    <w:rsid w:val="00CD7DE5"/>
    <w:rsid w:val="00CE0B8D"/>
    <w:rsid w:val="00CE0E57"/>
    <w:rsid w:val="00CE134E"/>
    <w:rsid w:val="00CE1406"/>
    <w:rsid w:val="00CE1733"/>
    <w:rsid w:val="00CE1D99"/>
    <w:rsid w:val="00CE1EE5"/>
    <w:rsid w:val="00CE28E9"/>
    <w:rsid w:val="00CE3C87"/>
    <w:rsid w:val="00CE471D"/>
    <w:rsid w:val="00CE5FB2"/>
    <w:rsid w:val="00CE6BE3"/>
    <w:rsid w:val="00CE7C23"/>
    <w:rsid w:val="00CE7F31"/>
    <w:rsid w:val="00CF0202"/>
    <w:rsid w:val="00CF105B"/>
    <w:rsid w:val="00CF13F4"/>
    <w:rsid w:val="00CF2B38"/>
    <w:rsid w:val="00CF33E3"/>
    <w:rsid w:val="00CF3899"/>
    <w:rsid w:val="00CF3935"/>
    <w:rsid w:val="00CF3B98"/>
    <w:rsid w:val="00CF3E00"/>
    <w:rsid w:val="00CF4607"/>
    <w:rsid w:val="00CF5C8C"/>
    <w:rsid w:val="00CF5F82"/>
    <w:rsid w:val="00CF6254"/>
    <w:rsid w:val="00CF6D8F"/>
    <w:rsid w:val="00CF741F"/>
    <w:rsid w:val="00CF7616"/>
    <w:rsid w:val="00D001B5"/>
    <w:rsid w:val="00D00975"/>
    <w:rsid w:val="00D00DD8"/>
    <w:rsid w:val="00D00E1C"/>
    <w:rsid w:val="00D01657"/>
    <w:rsid w:val="00D0282F"/>
    <w:rsid w:val="00D02830"/>
    <w:rsid w:val="00D03FD8"/>
    <w:rsid w:val="00D045F5"/>
    <w:rsid w:val="00D071D8"/>
    <w:rsid w:val="00D107D0"/>
    <w:rsid w:val="00D108AE"/>
    <w:rsid w:val="00D112A8"/>
    <w:rsid w:val="00D123DB"/>
    <w:rsid w:val="00D1274C"/>
    <w:rsid w:val="00D12E7F"/>
    <w:rsid w:val="00D13027"/>
    <w:rsid w:val="00D130C2"/>
    <w:rsid w:val="00D1476E"/>
    <w:rsid w:val="00D15A4D"/>
    <w:rsid w:val="00D15E4B"/>
    <w:rsid w:val="00D15FE8"/>
    <w:rsid w:val="00D16D34"/>
    <w:rsid w:val="00D17594"/>
    <w:rsid w:val="00D2150D"/>
    <w:rsid w:val="00D21E13"/>
    <w:rsid w:val="00D22036"/>
    <w:rsid w:val="00D224C5"/>
    <w:rsid w:val="00D228D0"/>
    <w:rsid w:val="00D22DD3"/>
    <w:rsid w:val="00D23A97"/>
    <w:rsid w:val="00D23C42"/>
    <w:rsid w:val="00D23F63"/>
    <w:rsid w:val="00D240FC"/>
    <w:rsid w:val="00D26636"/>
    <w:rsid w:val="00D26E91"/>
    <w:rsid w:val="00D27387"/>
    <w:rsid w:val="00D27D59"/>
    <w:rsid w:val="00D27E05"/>
    <w:rsid w:val="00D30143"/>
    <w:rsid w:val="00D3079B"/>
    <w:rsid w:val="00D30923"/>
    <w:rsid w:val="00D30A17"/>
    <w:rsid w:val="00D329D7"/>
    <w:rsid w:val="00D32D04"/>
    <w:rsid w:val="00D32E69"/>
    <w:rsid w:val="00D33D77"/>
    <w:rsid w:val="00D34DAB"/>
    <w:rsid w:val="00D353AD"/>
    <w:rsid w:val="00D3764E"/>
    <w:rsid w:val="00D37C55"/>
    <w:rsid w:val="00D40C66"/>
    <w:rsid w:val="00D4159F"/>
    <w:rsid w:val="00D431C8"/>
    <w:rsid w:val="00D43B37"/>
    <w:rsid w:val="00D44BB6"/>
    <w:rsid w:val="00D4518E"/>
    <w:rsid w:val="00D458B8"/>
    <w:rsid w:val="00D45B1A"/>
    <w:rsid w:val="00D4677C"/>
    <w:rsid w:val="00D467A7"/>
    <w:rsid w:val="00D5026F"/>
    <w:rsid w:val="00D50BA2"/>
    <w:rsid w:val="00D52426"/>
    <w:rsid w:val="00D524F2"/>
    <w:rsid w:val="00D52701"/>
    <w:rsid w:val="00D53A2D"/>
    <w:rsid w:val="00D53E1C"/>
    <w:rsid w:val="00D53F78"/>
    <w:rsid w:val="00D54ED4"/>
    <w:rsid w:val="00D552D1"/>
    <w:rsid w:val="00D55BD6"/>
    <w:rsid w:val="00D561FE"/>
    <w:rsid w:val="00D56447"/>
    <w:rsid w:val="00D566CD"/>
    <w:rsid w:val="00D56C69"/>
    <w:rsid w:val="00D57A1D"/>
    <w:rsid w:val="00D57E3D"/>
    <w:rsid w:val="00D60490"/>
    <w:rsid w:val="00D607F1"/>
    <w:rsid w:val="00D60D13"/>
    <w:rsid w:val="00D61CE6"/>
    <w:rsid w:val="00D624EF"/>
    <w:rsid w:val="00D62C31"/>
    <w:rsid w:val="00D62F62"/>
    <w:rsid w:val="00D6393A"/>
    <w:rsid w:val="00D63C04"/>
    <w:rsid w:val="00D645F2"/>
    <w:rsid w:val="00D659C2"/>
    <w:rsid w:val="00D65CBE"/>
    <w:rsid w:val="00D66DA3"/>
    <w:rsid w:val="00D66F10"/>
    <w:rsid w:val="00D67ECD"/>
    <w:rsid w:val="00D72ED6"/>
    <w:rsid w:val="00D73FBD"/>
    <w:rsid w:val="00D7455D"/>
    <w:rsid w:val="00D7472C"/>
    <w:rsid w:val="00D75343"/>
    <w:rsid w:val="00D767A7"/>
    <w:rsid w:val="00D7784E"/>
    <w:rsid w:val="00D80C66"/>
    <w:rsid w:val="00D83197"/>
    <w:rsid w:val="00D836D7"/>
    <w:rsid w:val="00D85713"/>
    <w:rsid w:val="00D8648B"/>
    <w:rsid w:val="00D9005C"/>
    <w:rsid w:val="00D902D9"/>
    <w:rsid w:val="00D90F4F"/>
    <w:rsid w:val="00D917A6"/>
    <w:rsid w:val="00D91D82"/>
    <w:rsid w:val="00D92605"/>
    <w:rsid w:val="00D92896"/>
    <w:rsid w:val="00D92A50"/>
    <w:rsid w:val="00D92A86"/>
    <w:rsid w:val="00D94282"/>
    <w:rsid w:val="00D945B0"/>
    <w:rsid w:val="00D94658"/>
    <w:rsid w:val="00D957F0"/>
    <w:rsid w:val="00D964F0"/>
    <w:rsid w:val="00D9668A"/>
    <w:rsid w:val="00D9669C"/>
    <w:rsid w:val="00D96C1F"/>
    <w:rsid w:val="00D96E81"/>
    <w:rsid w:val="00D973CB"/>
    <w:rsid w:val="00DA0BF6"/>
    <w:rsid w:val="00DA1AAC"/>
    <w:rsid w:val="00DA1C44"/>
    <w:rsid w:val="00DA1EFF"/>
    <w:rsid w:val="00DA2D35"/>
    <w:rsid w:val="00DA3174"/>
    <w:rsid w:val="00DA3869"/>
    <w:rsid w:val="00DA4655"/>
    <w:rsid w:val="00DA492A"/>
    <w:rsid w:val="00DA5A7E"/>
    <w:rsid w:val="00DA7B57"/>
    <w:rsid w:val="00DB0C61"/>
    <w:rsid w:val="00DB0CD5"/>
    <w:rsid w:val="00DB0E85"/>
    <w:rsid w:val="00DB10EF"/>
    <w:rsid w:val="00DB1424"/>
    <w:rsid w:val="00DB1D4E"/>
    <w:rsid w:val="00DB1FF7"/>
    <w:rsid w:val="00DB247F"/>
    <w:rsid w:val="00DB24BF"/>
    <w:rsid w:val="00DB27D5"/>
    <w:rsid w:val="00DB2A09"/>
    <w:rsid w:val="00DB2E69"/>
    <w:rsid w:val="00DB325F"/>
    <w:rsid w:val="00DB3ACB"/>
    <w:rsid w:val="00DB3C19"/>
    <w:rsid w:val="00DB3CC1"/>
    <w:rsid w:val="00DB3DF4"/>
    <w:rsid w:val="00DB5AB9"/>
    <w:rsid w:val="00DB7668"/>
    <w:rsid w:val="00DC025D"/>
    <w:rsid w:val="00DC0D69"/>
    <w:rsid w:val="00DC1352"/>
    <w:rsid w:val="00DC1C93"/>
    <w:rsid w:val="00DC1C9C"/>
    <w:rsid w:val="00DC263B"/>
    <w:rsid w:val="00DC3E3D"/>
    <w:rsid w:val="00DC414A"/>
    <w:rsid w:val="00DC4514"/>
    <w:rsid w:val="00DC4E4C"/>
    <w:rsid w:val="00DC5650"/>
    <w:rsid w:val="00DC6A75"/>
    <w:rsid w:val="00DC70EA"/>
    <w:rsid w:val="00DC7401"/>
    <w:rsid w:val="00DD0317"/>
    <w:rsid w:val="00DD0427"/>
    <w:rsid w:val="00DD17FB"/>
    <w:rsid w:val="00DD23F7"/>
    <w:rsid w:val="00DD3705"/>
    <w:rsid w:val="00DD40C4"/>
    <w:rsid w:val="00DD4213"/>
    <w:rsid w:val="00DD4FB9"/>
    <w:rsid w:val="00DD4FDA"/>
    <w:rsid w:val="00DD5118"/>
    <w:rsid w:val="00DD688A"/>
    <w:rsid w:val="00DD7602"/>
    <w:rsid w:val="00DD7ECE"/>
    <w:rsid w:val="00DE0027"/>
    <w:rsid w:val="00DE0239"/>
    <w:rsid w:val="00DE026E"/>
    <w:rsid w:val="00DE1710"/>
    <w:rsid w:val="00DE1756"/>
    <w:rsid w:val="00DE1C82"/>
    <w:rsid w:val="00DE2234"/>
    <w:rsid w:val="00DE3930"/>
    <w:rsid w:val="00DE3989"/>
    <w:rsid w:val="00DE415D"/>
    <w:rsid w:val="00DE499A"/>
    <w:rsid w:val="00DE5829"/>
    <w:rsid w:val="00DE6D0E"/>
    <w:rsid w:val="00DE6F46"/>
    <w:rsid w:val="00DE7062"/>
    <w:rsid w:val="00DE7582"/>
    <w:rsid w:val="00DF155E"/>
    <w:rsid w:val="00DF17B8"/>
    <w:rsid w:val="00DF1934"/>
    <w:rsid w:val="00DF202A"/>
    <w:rsid w:val="00DF3795"/>
    <w:rsid w:val="00DF3A6E"/>
    <w:rsid w:val="00DF41ED"/>
    <w:rsid w:val="00DF5DFA"/>
    <w:rsid w:val="00DF6D5F"/>
    <w:rsid w:val="00DF6E7D"/>
    <w:rsid w:val="00DF7603"/>
    <w:rsid w:val="00DF7992"/>
    <w:rsid w:val="00E0001D"/>
    <w:rsid w:val="00E00704"/>
    <w:rsid w:val="00E00AC7"/>
    <w:rsid w:val="00E01103"/>
    <w:rsid w:val="00E012F2"/>
    <w:rsid w:val="00E029D6"/>
    <w:rsid w:val="00E02B6D"/>
    <w:rsid w:val="00E03616"/>
    <w:rsid w:val="00E0470B"/>
    <w:rsid w:val="00E04AAE"/>
    <w:rsid w:val="00E057C6"/>
    <w:rsid w:val="00E0666D"/>
    <w:rsid w:val="00E0729F"/>
    <w:rsid w:val="00E07729"/>
    <w:rsid w:val="00E07FB0"/>
    <w:rsid w:val="00E10031"/>
    <w:rsid w:val="00E10604"/>
    <w:rsid w:val="00E10C4F"/>
    <w:rsid w:val="00E1194F"/>
    <w:rsid w:val="00E12A6F"/>
    <w:rsid w:val="00E147CE"/>
    <w:rsid w:val="00E14BB3"/>
    <w:rsid w:val="00E15708"/>
    <w:rsid w:val="00E15E43"/>
    <w:rsid w:val="00E15EE2"/>
    <w:rsid w:val="00E15FDD"/>
    <w:rsid w:val="00E16281"/>
    <w:rsid w:val="00E1638B"/>
    <w:rsid w:val="00E16DFC"/>
    <w:rsid w:val="00E17EAF"/>
    <w:rsid w:val="00E20C4C"/>
    <w:rsid w:val="00E2103F"/>
    <w:rsid w:val="00E21204"/>
    <w:rsid w:val="00E21218"/>
    <w:rsid w:val="00E21861"/>
    <w:rsid w:val="00E22874"/>
    <w:rsid w:val="00E237F9"/>
    <w:rsid w:val="00E23E96"/>
    <w:rsid w:val="00E24197"/>
    <w:rsid w:val="00E24553"/>
    <w:rsid w:val="00E24EBC"/>
    <w:rsid w:val="00E25F41"/>
    <w:rsid w:val="00E2614C"/>
    <w:rsid w:val="00E262AE"/>
    <w:rsid w:val="00E2634F"/>
    <w:rsid w:val="00E26A38"/>
    <w:rsid w:val="00E275CD"/>
    <w:rsid w:val="00E27A8E"/>
    <w:rsid w:val="00E303D3"/>
    <w:rsid w:val="00E30639"/>
    <w:rsid w:val="00E30A0B"/>
    <w:rsid w:val="00E30C62"/>
    <w:rsid w:val="00E31503"/>
    <w:rsid w:val="00E3193D"/>
    <w:rsid w:val="00E31C3C"/>
    <w:rsid w:val="00E326BC"/>
    <w:rsid w:val="00E33025"/>
    <w:rsid w:val="00E33150"/>
    <w:rsid w:val="00E34D96"/>
    <w:rsid w:val="00E353D2"/>
    <w:rsid w:val="00E35601"/>
    <w:rsid w:val="00E35B9C"/>
    <w:rsid w:val="00E35D97"/>
    <w:rsid w:val="00E3679F"/>
    <w:rsid w:val="00E3732F"/>
    <w:rsid w:val="00E377D5"/>
    <w:rsid w:val="00E37E01"/>
    <w:rsid w:val="00E40FFE"/>
    <w:rsid w:val="00E41AD1"/>
    <w:rsid w:val="00E41C1A"/>
    <w:rsid w:val="00E4287C"/>
    <w:rsid w:val="00E428DB"/>
    <w:rsid w:val="00E42976"/>
    <w:rsid w:val="00E4323C"/>
    <w:rsid w:val="00E43661"/>
    <w:rsid w:val="00E43A52"/>
    <w:rsid w:val="00E4497F"/>
    <w:rsid w:val="00E44EC4"/>
    <w:rsid w:val="00E45D2D"/>
    <w:rsid w:val="00E45E80"/>
    <w:rsid w:val="00E45FB5"/>
    <w:rsid w:val="00E4619E"/>
    <w:rsid w:val="00E47E98"/>
    <w:rsid w:val="00E47F00"/>
    <w:rsid w:val="00E50CB2"/>
    <w:rsid w:val="00E512AA"/>
    <w:rsid w:val="00E535D9"/>
    <w:rsid w:val="00E53A00"/>
    <w:rsid w:val="00E53ACF"/>
    <w:rsid w:val="00E53C7A"/>
    <w:rsid w:val="00E5513B"/>
    <w:rsid w:val="00E551AF"/>
    <w:rsid w:val="00E558BD"/>
    <w:rsid w:val="00E55A6D"/>
    <w:rsid w:val="00E560DA"/>
    <w:rsid w:val="00E56A37"/>
    <w:rsid w:val="00E57421"/>
    <w:rsid w:val="00E57BA3"/>
    <w:rsid w:val="00E57EF3"/>
    <w:rsid w:val="00E57F7E"/>
    <w:rsid w:val="00E600AE"/>
    <w:rsid w:val="00E6025E"/>
    <w:rsid w:val="00E6071D"/>
    <w:rsid w:val="00E60857"/>
    <w:rsid w:val="00E61DEF"/>
    <w:rsid w:val="00E62225"/>
    <w:rsid w:val="00E629B8"/>
    <w:rsid w:val="00E62CD2"/>
    <w:rsid w:val="00E63DF3"/>
    <w:rsid w:val="00E643FF"/>
    <w:rsid w:val="00E64DBB"/>
    <w:rsid w:val="00E650E4"/>
    <w:rsid w:val="00E65A25"/>
    <w:rsid w:val="00E66827"/>
    <w:rsid w:val="00E67177"/>
    <w:rsid w:val="00E6791A"/>
    <w:rsid w:val="00E679EA"/>
    <w:rsid w:val="00E71962"/>
    <w:rsid w:val="00E71E12"/>
    <w:rsid w:val="00E71E18"/>
    <w:rsid w:val="00E7225D"/>
    <w:rsid w:val="00E72CEA"/>
    <w:rsid w:val="00E741F7"/>
    <w:rsid w:val="00E75FD0"/>
    <w:rsid w:val="00E7650A"/>
    <w:rsid w:val="00E76C55"/>
    <w:rsid w:val="00E80257"/>
    <w:rsid w:val="00E803CF"/>
    <w:rsid w:val="00E81020"/>
    <w:rsid w:val="00E817A7"/>
    <w:rsid w:val="00E8224F"/>
    <w:rsid w:val="00E82C26"/>
    <w:rsid w:val="00E82EC4"/>
    <w:rsid w:val="00E839ED"/>
    <w:rsid w:val="00E83F6B"/>
    <w:rsid w:val="00E84071"/>
    <w:rsid w:val="00E84418"/>
    <w:rsid w:val="00E84DD2"/>
    <w:rsid w:val="00E85ABE"/>
    <w:rsid w:val="00E86F62"/>
    <w:rsid w:val="00E8723B"/>
    <w:rsid w:val="00E90468"/>
    <w:rsid w:val="00E92291"/>
    <w:rsid w:val="00E9362E"/>
    <w:rsid w:val="00E942B6"/>
    <w:rsid w:val="00E95413"/>
    <w:rsid w:val="00E960B0"/>
    <w:rsid w:val="00E97149"/>
    <w:rsid w:val="00E97EF6"/>
    <w:rsid w:val="00EA0798"/>
    <w:rsid w:val="00EA0FEF"/>
    <w:rsid w:val="00EA1995"/>
    <w:rsid w:val="00EA1C47"/>
    <w:rsid w:val="00EA219A"/>
    <w:rsid w:val="00EA259A"/>
    <w:rsid w:val="00EA3012"/>
    <w:rsid w:val="00EA5B36"/>
    <w:rsid w:val="00EA6A2B"/>
    <w:rsid w:val="00EA6F35"/>
    <w:rsid w:val="00EA7389"/>
    <w:rsid w:val="00EB0876"/>
    <w:rsid w:val="00EB0A77"/>
    <w:rsid w:val="00EB0C90"/>
    <w:rsid w:val="00EB3309"/>
    <w:rsid w:val="00EB3383"/>
    <w:rsid w:val="00EB3C98"/>
    <w:rsid w:val="00EB4CD8"/>
    <w:rsid w:val="00EB5144"/>
    <w:rsid w:val="00EB65BF"/>
    <w:rsid w:val="00EB77ED"/>
    <w:rsid w:val="00EC0B22"/>
    <w:rsid w:val="00EC151D"/>
    <w:rsid w:val="00EC16AE"/>
    <w:rsid w:val="00EC1A73"/>
    <w:rsid w:val="00EC2D15"/>
    <w:rsid w:val="00EC2D8D"/>
    <w:rsid w:val="00EC2E2F"/>
    <w:rsid w:val="00EC3108"/>
    <w:rsid w:val="00EC335E"/>
    <w:rsid w:val="00EC377B"/>
    <w:rsid w:val="00EC38C8"/>
    <w:rsid w:val="00EC3D8A"/>
    <w:rsid w:val="00EC4EA4"/>
    <w:rsid w:val="00EC5446"/>
    <w:rsid w:val="00EC57CD"/>
    <w:rsid w:val="00EC6794"/>
    <w:rsid w:val="00EC6EA4"/>
    <w:rsid w:val="00EC7D32"/>
    <w:rsid w:val="00EC7D57"/>
    <w:rsid w:val="00EC7D88"/>
    <w:rsid w:val="00ED0326"/>
    <w:rsid w:val="00ED0454"/>
    <w:rsid w:val="00ED0472"/>
    <w:rsid w:val="00ED054E"/>
    <w:rsid w:val="00ED090E"/>
    <w:rsid w:val="00ED0C8C"/>
    <w:rsid w:val="00ED11FF"/>
    <w:rsid w:val="00ED18E6"/>
    <w:rsid w:val="00ED2287"/>
    <w:rsid w:val="00ED22C4"/>
    <w:rsid w:val="00ED252B"/>
    <w:rsid w:val="00ED264A"/>
    <w:rsid w:val="00ED3003"/>
    <w:rsid w:val="00ED3050"/>
    <w:rsid w:val="00ED3518"/>
    <w:rsid w:val="00ED397E"/>
    <w:rsid w:val="00ED596F"/>
    <w:rsid w:val="00ED617F"/>
    <w:rsid w:val="00ED6319"/>
    <w:rsid w:val="00ED64E4"/>
    <w:rsid w:val="00ED6AF6"/>
    <w:rsid w:val="00ED7271"/>
    <w:rsid w:val="00EE002A"/>
    <w:rsid w:val="00EE0F2A"/>
    <w:rsid w:val="00EE1335"/>
    <w:rsid w:val="00EE1E86"/>
    <w:rsid w:val="00EE2072"/>
    <w:rsid w:val="00EE2418"/>
    <w:rsid w:val="00EE2A16"/>
    <w:rsid w:val="00EE2DA2"/>
    <w:rsid w:val="00EE2FCC"/>
    <w:rsid w:val="00EE307C"/>
    <w:rsid w:val="00EE32F4"/>
    <w:rsid w:val="00EE3314"/>
    <w:rsid w:val="00EE39AA"/>
    <w:rsid w:val="00EE3B00"/>
    <w:rsid w:val="00EE4C3A"/>
    <w:rsid w:val="00EE51CC"/>
    <w:rsid w:val="00EE6A63"/>
    <w:rsid w:val="00EE6A7F"/>
    <w:rsid w:val="00EE7227"/>
    <w:rsid w:val="00EE7BA2"/>
    <w:rsid w:val="00EE7EF8"/>
    <w:rsid w:val="00EF056C"/>
    <w:rsid w:val="00EF0573"/>
    <w:rsid w:val="00EF0ABF"/>
    <w:rsid w:val="00EF13DE"/>
    <w:rsid w:val="00EF1B69"/>
    <w:rsid w:val="00EF204F"/>
    <w:rsid w:val="00EF3E44"/>
    <w:rsid w:val="00EF4031"/>
    <w:rsid w:val="00EF498D"/>
    <w:rsid w:val="00EF511E"/>
    <w:rsid w:val="00EF5B12"/>
    <w:rsid w:val="00EF6BBD"/>
    <w:rsid w:val="00EF755E"/>
    <w:rsid w:val="00F01A25"/>
    <w:rsid w:val="00F01BF6"/>
    <w:rsid w:val="00F01F5E"/>
    <w:rsid w:val="00F025C5"/>
    <w:rsid w:val="00F02A0F"/>
    <w:rsid w:val="00F02A47"/>
    <w:rsid w:val="00F02D8F"/>
    <w:rsid w:val="00F02DA9"/>
    <w:rsid w:val="00F03012"/>
    <w:rsid w:val="00F0361C"/>
    <w:rsid w:val="00F03D18"/>
    <w:rsid w:val="00F03F83"/>
    <w:rsid w:val="00F058F5"/>
    <w:rsid w:val="00F05F77"/>
    <w:rsid w:val="00F0607A"/>
    <w:rsid w:val="00F06166"/>
    <w:rsid w:val="00F0702F"/>
    <w:rsid w:val="00F07F51"/>
    <w:rsid w:val="00F10DEE"/>
    <w:rsid w:val="00F112B3"/>
    <w:rsid w:val="00F11B6F"/>
    <w:rsid w:val="00F1235A"/>
    <w:rsid w:val="00F12777"/>
    <w:rsid w:val="00F12FA2"/>
    <w:rsid w:val="00F134E0"/>
    <w:rsid w:val="00F136EA"/>
    <w:rsid w:val="00F13AB9"/>
    <w:rsid w:val="00F14864"/>
    <w:rsid w:val="00F14FA7"/>
    <w:rsid w:val="00F152A9"/>
    <w:rsid w:val="00F15316"/>
    <w:rsid w:val="00F17392"/>
    <w:rsid w:val="00F17396"/>
    <w:rsid w:val="00F20037"/>
    <w:rsid w:val="00F2076D"/>
    <w:rsid w:val="00F20D32"/>
    <w:rsid w:val="00F211F4"/>
    <w:rsid w:val="00F215C8"/>
    <w:rsid w:val="00F22720"/>
    <w:rsid w:val="00F236FE"/>
    <w:rsid w:val="00F23700"/>
    <w:rsid w:val="00F23FF6"/>
    <w:rsid w:val="00F24C12"/>
    <w:rsid w:val="00F25424"/>
    <w:rsid w:val="00F26E7F"/>
    <w:rsid w:val="00F303AC"/>
    <w:rsid w:val="00F304AB"/>
    <w:rsid w:val="00F30FA0"/>
    <w:rsid w:val="00F314C3"/>
    <w:rsid w:val="00F31512"/>
    <w:rsid w:val="00F31667"/>
    <w:rsid w:val="00F31976"/>
    <w:rsid w:val="00F326EE"/>
    <w:rsid w:val="00F3355F"/>
    <w:rsid w:val="00F34345"/>
    <w:rsid w:val="00F3435F"/>
    <w:rsid w:val="00F34493"/>
    <w:rsid w:val="00F34867"/>
    <w:rsid w:val="00F34D00"/>
    <w:rsid w:val="00F3521F"/>
    <w:rsid w:val="00F35903"/>
    <w:rsid w:val="00F3633F"/>
    <w:rsid w:val="00F36C6F"/>
    <w:rsid w:val="00F3704B"/>
    <w:rsid w:val="00F3707A"/>
    <w:rsid w:val="00F3799C"/>
    <w:rsid w:val="00F37EE0"/>
    <w:rsid w:val="00F40735"/>
    <w:rsid w:val="00F40739"/>
    <w:rsid w:val="00F40E26"/>
    <w:rsid w:val="00F414E1"/>
    <w:rsid w:val="00F41CBA"/>
    <w:rsid w:val="00F42933"/>
    <w:rsid w:val="00F4321F"/>
    <w:rsid w:val="00F43EF3"/>
    <w:rsid w:val="00F44178"/>
    <w:rsid w:val="00F445D2"/>
    <w:rsid w:val="00F446EB"/>
    <w:rsid w:val="00F46474"/>
    <w:rsid w:val="00F467A2"/>
    <w:rsid w:val="00F47B8E"/>
    <w:rsid w:val="00F500D5"/>
    <w:rsid w:val="00F5107D"/>
    <w:rsid w:val="00F515AF"/>
    <w:rsid w:val="00F52314"/>
    <w:rsid w:val="00F52852"/>
    <w:rsid w:val="00F53002"/>
    <w:rsid w:val="00F53D8C"/>
    <w:rsid w:val="00F548BD"/>
    <w:rsid w:val="00F552E1"/>
    <w:rsid w:val="00F56BCA"/>
    <w:rsid w:val="00F57F1D"/>
    <w:rsid w:val="00F60C69"/>
    <w:rsid w:val="00F61527"/>
    <w:rsid w:val="00F615D6"/>
    <w:rsid w:val="00F61984"/>
    <w:rsid w:val="00F61AE5"/>
    <w:rsid w:val="00F6220B"/>
    <w:rsid w:val="00F62415"/>
    <w:rsid w:val="00F62BDC"/>
    <w:rsid w:val="00F636C9"/>
    <w:rsid w:val="00F63EF5"/>
    <w:rsid w:val="00F64079"/>
    <w:rsid w:val="00F64CC9"/>
    <w:rsid w:val="00F656E9"/>
    <w:rsid w:val="00F660D5"/>
    <w:rsid w:val="00F678A2"/>
    <w:rsid w:val="00F70596"/>
    <w:rsid w:val="00F70AF9"/>
    <w:rsid w:val="00F712AE"/>
    <w:rsid w:val="00F733DF"/>
    <w:rsid w:val="00F73F04"/>
    <w:rsid w:val="00F740A5"/>
    <w:rsid w:val="00F744CE"/>
    <w:rsid w:val="00F74565"/>
    <w:rsid w:val="00F74F38"/>
    <w:rsid w:val="00F752DF"/>
    <w:rsid w:val="00F7554C"/>
    <w:rsid w:val="00F75D8B"/>
    <w:rsid w:val="00F76DB6"/>
    <w:rsid w:val="00F77D89"/>
    <w:rsid w:val="00F81238"/>
    <w:rsid w:val="00F81BD1"/>
    <w:rsid w:val="00F81F7D"/>
    <w:rsid w:val="00F8314A"/>
    <w:rsid w:val="00F83E68"/>
    <w:rsid w:val="00F8420C"/>
    <w:rsid w:val="00F85CE2"/>
    <w:rsid w:val="00F86342"/>
    <w:rsid w:val="00F86352"/>
    <w:rsid w:val="00F864A5"/>
    <w:rsid w:val="00F8740A"/>
    <w:rsid w:val="00F90F7F"/>
    <w:rsid w:val="00F91358"/>
    <w:rsid w:val="00F9183D"/>
    <w:rsid w:val="00F92648"/>
    <w:rsid w:val="00F9477C"/>
    <w:rsid w:val="00F94882"/>
    <w:rsid w:val="00F9527B"/>
    <w:rsid w:val="00F952E7"/>
    <w:rsid w:val="00F95ED8"/>
    <w:rsid w:val="00F9642F"/>
    <w:rsid w:val="00F96BC6"/>
    <w:rsid w:val="00F97614"/>
    <w:rsid w:val="00F97B83"/>
    <w:rsid w:val="00F97D52"/>
    <w:rsid w:val="00FA0117"/>
    <w:rsid w:val="00FA1949"/>
    <w:rsid w:val="00FA3267"/>
    <w:rsid w:val="00FA3348"/>
    <w:rsid w:val="00FA4376"/>
    <w:rsid w:val="00FA5235"/>
    <w:rsid w:val="00FA58D0"/>
    <w:rsid w:val="00FA5F31"/>
    <w:rsid w:val="00FA6009"/>
    <w:rsid w:val="00FA652A"/>
    <w:rsid w:val="00FA66D6"/>
    <w:rsid w:val="00FA6DBD"/>
    <w:rsid w:val="00FA7159"/>
    <w:rsid w:val="00FA78CA"/>
    <w:rsid w:val="00FA7BCB"/>
    <w:rsid w:val="00FA7F72"/>
    <w:rsid w:val="00FB0109"/>
    <w:rsid w:val="00FB0DE0"/>
    <w:rsid w:val="00FB1319"/>
    <w:rsid w:val="00FB1378"/>
    <w:rsid w:val="00FB1438"/>
    <w:rsid w:val="00FB2531"/>
    <w:rsid w:val="00FB272A"/>
    <w:rsid w:val="00FB29A2"/>
    <w:rsid w:val="00FB2E89"/>
    <w:rsid w:val="00FB2EF6"/>
    <w:rsid w:val="00FB2FEE"/>
    <w:rsid w:val="00FB4D39"/>
    <w:rsid w:val="00FB5848"/>
    <w:rsid w:val="00FB5880"/>
    <w:rsid w:val="00FB5B4B"/>
    <w:rsid w:val="00FB76E2"/>
    <w:rsid w:val="00FC074E"/>
    <w:rsid w:val="00FC10D1"/>
    <w:rsid w:val="00FC13E0"/>
    <w:rsid w:val="00FC3301"/>
    <w:rsid w:val="00FC3712"/>
    <w:rsid w:val="00FC46F9"/>
    <w:rsid w:val="00FC4D30"/>
    <w:rsid w:val="00FC51D0"/>
    <w:rsid w:val="00FC5525"/>
    <w:rsid w:val="00FC565A"/>
    <w:rsid w:val="00FC5AC5"/>
    <w:rsid w:val="00FC5D39"/>
    <w:rsid w:val="00FC5F8C"/>
    <w:rsid w:val="00FC6350"/>
    <w:rsid w:val="00FC63C7"/>
    <w:rsid w:val="00FC7682"/>
    <w:rsid w:val="00FC7801"/>
    <w:rsid w:val="00FD052F"/>
    <w:rsid w:val="00FD1476"/>
    <w:rsid w:val="00FD15C3"/>
    <w:rsid w:val="00FD23A8"/>
    <w:rsid w:val="00FD2407"/>
    <w:rsid w:val="00FD397E"/>
    <w:rsid w:val="00FD3D3F"/>
    <w:rsid w:val="00FD441C"/>
    <w:rsid w:val="00FD4877"/>
    <w:rsid w:val="00FD55C1"/>
    <w:rsid w:val="00FD59D8"/>
    <w:rsid w:val="00FD72BE"/>
    <w:rsid w:val="00FD7577"/>
    <w:rsid w:val="00FD7E33"/>
    <w:rsid w:val="00FE01CF"/>
    <w:rsid w:val="00FE075F"/>
    <w:rsid w:val="00FE13DD"/>
    <w:rsid w:val="00FE15A6"/>
    <w:rsid w:val="00FE1796"/>
    <w:rsid w:val="00FE1A7D"/>
    <w:rsid w:val="00FE1F6B"/>
    <w:rsid w:val="00FE290B"/>
    <w:rsid w:val="00FE34A7"/>
    <w:rsid w:val="00FE3D9A"/>
    <w:rsid w:val="00FE4240"/>
    <w:rsid w:val="00FE4774"/>
    <w:rsid w:val="00FE4E9E"/>
    <w:rsid w:val="00FE55FA"/>
    <w:rsid w:val="00FE6FB7"/>
    <w:rsid w:val="00FE7112"/>
    <w:rsid w:val="00FE7BAC"/>
    <w:rsid w:val="00FF01B7"/>
    <w:rsid w:val="00FF2629"/>
    <w:rsid w:val="00FF2996"/>
    <w:rsid w:val="00FF2DC7"/>
    <w:rsid w:val="00FF577E"/>
    <w:rsid w:val="00FF5E43"/>
    <w:rsid w:val="00FF6495"/>
    <w:rsid w:val="00FF7195"/>
    <w:rsid w:val="00FF73B7"/>
    <w:rsid w:val="00FF7723"/>
    <w:rsid w:val="00FF7E1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F6"/>
    <w:pPr>
      <w:spacing w:after="200" w:line="276" w:lineRule="auto"/>
    </w:pPr>
    <w:rPr>
      <w:sz w:val="22"/>
      <w:szCs w:val="22"/>
      <w:lang w:eastAsia="en-US"/>
    </w:rPr>
  </w:style>
  <w:style w:type="paragraph" w:styleId="Heading1">
    <w:name w:val="heading 1"/>
    <w:basedOn w:val="Heading10"/>
    <w:next w:val="Normal"/>
    <w:link w:val="Heading1Char"/>
    <w:uiPriority w:val="9"/>
    <w:qFormat/>
    <w:rsid w:val="00D964F0"/>
    <w:pPr>
      <w:outlineLvl w:val="0"/>
    </w:pPr>
  </w:style>
  <w:style w:type="paragraph" w:styleId="Heading2">
    <w:name w:val="heading 2"/>
    <w:basedOn w:val="Normal"/>
    <w:link w:val="Heading2Char"/>
    <w:autoRedefine/>
    <w:qFormat/>
    <w:rsid w:val="00C13B7C"/>
    <w:pPr>
      <w:spacing w:before="120" w:after="0" w:line="240" w:lineRule="auto"/>
      <w:ind w:right="-23"/>
      <w:outlineLvl w:val="1"/>
    </w:pPr>
    <w:rPr>
      <w:rFonts w:cs="Calibri"/>
      <w:b/>
      <w:color w:val="000000"/>
      <w:sz w:val="24"/>
      <w:szCs w:val="24"/>
      <w:lang w:val="en-US"/>
    </w:rPr>
  </w:style>
  <w:style w:type="paragraph" w:styleId="Heading3">
    <w:name w:val="heading 3"/>
    <w:basedOn w:val="Normal"/>
    <w:next w:val="Normal"/>
    <w:link w:val="Heading3Char"/>
    <w:uiPriority w:val="9"/>
    <w:semiHidden/>
    <w:unhideWhenUsed/>
    <w:qFormat/>
    <w:rsid w:val="00504B6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0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A77"/>
    <w:rPr>
      <w:sz w:val="20"/>
      <w:szCs w:val="20"/>
    </w:rPr>
  </w:style>
  <w:style w:type="character" w:styleId="FootnoteReference">
    <w:name w:val="footnote reference"/>
    <w:basedOn w:val="DefaultParagraphFont"/>
    <w:uiPriority w:val="99"/>
    <w:semiHidden/>
    <w:unhideWhenUsed/>
    <w:rsid w:val="00EB0A77"/>
    <w:rPr>
      <w:vertAlign w:val="superscript"/>
    </w:rPr>
  </w:style>
  <w:style w:type="paragraph" w:styleId="BodyText">
    <w:name w:val="Body Text"/>
    <w:basedOn w:val="Normal"/>
    <w:link w:val="BodyTextChar"/>
    <w:uiPriority w:val="99"/>
    <w:rsid w:val="00F9527B"/>
    <w:pPr>
      <w:spacing w:after="120" w:line="240" w:lineRule="auto"/>
    </w:pPr>
    <w:rPr>
      <w:rFonts w:ascii="Arial" w:eastAsia="Times New Roman" w:hAnsi="Arial"/>
      <w:sz w:val="24"/>
      <w:szCs w:val="20"/>
    </w:rPr>
  </w:style>
  <w:style w:type="character" w:customStyle="1" w:styleId="BodyTextChar">
    <w:name w:val="Body Text Char"/>
    <w:basedOn w:val="DefaultParagraphFont"/>
    <w:link w:val="BodyText"/>
    <w:uiPriority w:val="99"/>
    <w:rsid w:val="00F9527B"/>
    <w:rPr>
      <w:rFonts w:ascii="Arial" w:eastAsia="Times New Roman" w:hAnsi="Arial" w:cs="Times New Roman"/>
      <w:sz w:val="24"/>
      <w:szCs w:val="20"/>
    </w:rPr>
  </w:style>
  <w:style w:type="paragraph" w:styleId="ListParagraph">
    <w:name w:val="List Paragraph"/>
    <w:basedOn w:val="Normal"/>
    <w:uiPriority w:val="34"/>
    <w:qFormat/>
    <w:rsid w:val="007759A9"/>
    <w:pPr>
      <w:ind w:left="720"/>
      <w:contextualSpacing/>
    </w:pPr>
  </w:style>
  <w:style w:type="paragraph" w:styleId="Header">
    <w:name w:val="header"/>
    <w:basedOn w:val="Normal"/>
    <w:link w:val="HeaderChar"/>
    <w:uiPriority w:val="99"/>
    <w:semiHidden/>
    <w:unhideWhenUsed/>
    <w:rsid w:val="00551224"/>
    <w:pPr>
      <w:tabs>
        <w:tab w:val="center" w:pos="4513"/>
        <w:tab w:val="right" w:pos="9026"/>
      </w:tabs>
    </w:pPr>
  </w:style>
  <w:style w:type="character" w:customStyle="1" w:styleId="HeaderChar">
    <w:name w:val="Header Char"/>
    <w:basedOn w:val="DefaultParagraphFont"/>
    <w:link w:val="Header"/>
    <w:uiPriority w:val="99"/>
    <w:semiHidden/>
    <w:rsid w:val="00551224"/>
    <w:rPr>
      <w:sz w:val="22"/>
      <w:szCs w:val="22"/>
      <w:lang w:eastAsia="en-US"/>
    </w:rPr>
  </w:style>
  <w:style w:type="paragraph" w:styleId="Footer">
    <w:name w:val="footer"/>
    <w:basedOn w:val="Normal"/>
    <w:link w:val="FooterChar"/>
    <w:uiPriority w:val="99"/>
    <w:unhideWhenUsed/>
    <w:rsid w:val="00551224"/>
    <w:pPr>
      <w:tabs>
        <w:tab w:val="center" w:pos="4513"/>
        <w:tab w:val="right" w:pos="9026"/>
      </w:tabs>
    </w:pPr>
  </w:style>
  <w:style w:type="character" w:customStyle="1" w:styleId="FooterChar">
    <w:name w:val="Footer Char"/>
    <w:basedOn w:val="DefaultParagraphFont"/>
    <w:link w:val="Footer"/>
    <w:uiPriority w:val="99"/>
    <w:rsid w:val="00551224"/>
    <w:rPr>
      <w:sz w:val="22"/>
      <w:szCs w:val="22"/>
      <w:lang w:eastAsia="en-US"/>
    </w:rPr>
  </w:style>
  <w:style w:type="table" w:styleId="TableGrid">
    <w:name w:val="Table Grid"/>
    <w:basedOn w:val="TableNormal"/>
    <w:uiPriority w:val="59"/>
    <w:rsid w:val="00D524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13B7C"/>
    <w:rPr>
      <w:rFonts w:cs="Calibri"/>
      <w:b/>
      <w:color w:val="000000"/>
      <w:sz w:val="24"/>
      <w:szCs w:val="24"/>
      <w:lang w:val="en-US" w:eastAsia="en-US"/>
    </w:rPr>
  </w:style>
  <w:style w:type="paragraph" w:customStyle="1" w:styleId="Default">
    <w:name w:val="Default"/>
    <w:link w:val="DefaultChar"/>
    <w:rsid w:val="00CA097E"/>
    <w:pPr>
      <w:autoSpaceDE w:val="0"/>
      <w:autoSpaceDN w:val="0"/>
      <w:adjustRightInd w:val="0"/>
    </w:pPr>
    <w:rPr>
      <w:rFonts w:ascii="Arial" w:eastAsia="Times New Roman" w:hAnsi="Arial" w:cs="Arial"/>
      <w:color w:val="000000"/>
      <w:sz w:val="24"/>
      <w:szCs w:val="24"/>
    </w:rPr>
  </w:style>
  <w:style w:type="character" w:customStyle="1" w:styleId="DefaultChar">
    <w:name w:val="Default Char"/>
    <w:basedOn w:val="DefaultParagraphFont"/>
    <w:link w:val="Default"/>
    <w:rsid w:val="00CA097E"/>
    <w:rPr>
      <w:rFonts w:ascii="Arial" w:eastAsia="Times New Roman" w:hAnsi="Arial" w:cs="Arial"/>
      <w:color w:val="000000"/>
      <w:sz w:val="24"/>
      <w:szCs w:val="24"/>
      <w:lang w:val="en-AU" w:eastAsia="en-AU" w:bidi="ar-SA"/>
    </w:rPr>
  </w:style>
  <w:style w:type="character" w:customStyle="1" w:styleId="Heading1Char">
    <w:name w:val="Heading 1 Char"/>
    <w:basedOn w:val="DefaultParagraphFont"/>
    <w:link w:val="Heading1"/>
    <w:uiPriority w:val="9"/>
    <w:rsid w:val="00D964F0"/>
    <w:rPr>
      <w:rFonts w:cs="Calibri"/>
      <w:b/>
      <w:color w:val="000000"/>
      <w:sz w:val="22"/>
      <w:szCs w:val="22"/>
      <w:lang w:eastAsia="en-US"/>
    </w:rPr>
  </w:style>
  <w:style w:type="paragraph" w:styleId="TOCHeading">
    <w:name w:val="TOC Heading"/>
    <w:basedOn w:val="Heading1"/>
    <w:next w:val="Normal"/>
    <w:uiPriority w:val="39"/>
    <w:unhideWhenUsed/>
    <w:qFormat/>
    <w:rsid w:val="0068237C"/>
    <w:pPr>
      <w:keepLines/>
      <w:spacing w:before="480"/>
      <w:outlineLvl w:val="9"/>
    </w:pPr>
    <w:rPr>
      <w:color w:val="365F91"/>
      <w:sz w:val="28"/>
      <w:szCs w:val="28"/>
    </w:rPr>
  </w:style>
  <w:style w:type="paragraph" w:styleId="TOC2">
    <w:name w:val="toc 2"/>
    <w:basedOn w:val="Normal"/>
    <w:next w:val="Normal"/>
    <w:autoRedefine/>
    <w:uiPriority w:val="39"/>
    <w:unhideWhenUsed/>
    <w:rsid w:val="00D4518E"/>
    <w:pPr>
      <w:spacing w:before="120" w:after="0"/>
      <w:ind w:left="220"/>
    </w:pPr>
    <w:rPr>
      <w:rFonts w:cs="Calibri"/>
      <w:i/>
      <w:iCs/>
      <w:sz w:val="20"/>
      <w:szCs w:val="20"/>
    </w:rPr>
  </w:style>
  <w:style w:type="character" w:styleId="Hyperlink">
    <w:name w:val="Hyperlink"/>
    <w:basedOn w:val="DefaultParagraphFont"/>
    <w:uiPriority w:val="99"/>
    <w:unhideWhenUsed/>
    <w:rsid w:val="0068237C"/>
    <w:rPr>
      <w:color w:val="0000FF"/>
      <w:u w:val="single"/>
    </w:rPr>
  </w:style>
  <w:style w:type="character" w:styleId="BookTitle">
    <w:name w:val="Book Title"/>
    <w:basedOn w:val="DefaultParagraphFont"/>
    <w:uiPriority w:val="33"/>
    <w:qFormat/>
    <w:rsid w:val="00504B61"/>
    <w:rPr>
      <w:b/>
    </w:rPr>
  </w:style>
  <w:style w:type="paragraph" w:styleId="IntenseQuote">
    <w:name w:val="Intense Quote"/>
    <w:basedOn w:val="Normal"/>
    <w:next w:val="Normal"/>
    <w:link w:val="IntenseQuoteChar"/>
    <w:uiPriority w:val="30"/>
    <w:qFormat/>
    <w:rsid w:val="0068237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8237C"/>
    <w:rPr>
      <w:b/>
      <w:bCs/>
      <w:i/>
      <w:iCs/>
      <w:color w:val="4F81BD"/>
      <w:sz w:val="22"/>
      <w:szCs w:val="22"/>
      <w:lang w:eastAsia="en-US"/>
    </w:rPr>
  </w:style>
  <w:style w:type="paragraph" w:styleId="Title">
    <w:name w:val="Title"/>
    <w:basedOn w:val="Heading1"/>
    <w:link w:val="TitleChar"/>
    <w:qFormat/>
    <w:rsid w:val="00504B61"/>
  </w:style>
  <w:style w:type="character" w:customStyle="1" w:styleId="TitleChar">
    <w:name w:val="Title Char"/>
    <w:basedOn w:val="DefaultParagraphFont"/>
    <w:link w:val="Title"/>
    <w:rsid w:val="00504B61"/>
    <w:rPr>
      <w:rFonts w:cs="Calibri"/>
      <w:b/>
      <w:sz w:val="22"/>
      <w:szCs w:val="22"/>
      <w:lang w:eastAsia="en-US"/>
    </w:rPr>
  </w:style>
  <w:style w:type="paragraph" w:styleId="NormalWeb">
    <w:name w:val="Normal (Web)"/>
    <w:basedOn w:val="Normal"/>
    <w:uiPriority w:val="99"/>
    <w:unhideWhenUsed/>
    <w:rsid w:val="00DB247F"/>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styleId="TOC1">
    <w:name w:val="toc 1"/>
    <w:basedOn w:val="Normal"/>
    <w:next w:val="Normal"/>
    <w:autoRedefine/>
    <w:uiPriority w:val="39"/>
    <w:unhideWhenUsed/>
    <w:rsid w:val="003376A9"/>
    <w:pPr>
      <w:spacing w:before="240" w:after="120"/>
    </w:pPr>
    <w:rPr>
      <w:rFonts w:cs="Calibri"/>
      <w:b/>
      <w:bCs/>
      <w:sz w:val="20"/>
      <w:szCs w:val="20"/>
    </w:rPr>
  </w:style>
  <w:style w:type="paragraph" w:customStyle="1" w:styleId="EALDReview">
    <w:name w:val="EALD Review"/>
    <w:basedOn w:val="Heading2"/>
    <w:link w:val="EALDReviewChar"/>
    <w:rsid w:val="000510BA"/>
  </w:style>
  <w:style w:type="paragraph" w:customStyle="1" w:styleId="EALDReview1">
    <w:name w:val="EALD Review1"/>
    <w:basedOn w:val="EALDReview"/>
    <w:link w:val="EALDReview1Char"/>
    <w:rsid w:val="000605B7"/>
  </w:style>
  <w:style w:type="character" w:customStyle="1" w:styleId="EALDReviewChar">
    <w:name w:val="EALD Review Char"/>
    <w:basedOn w:val="Heading2Char"/>
    <w:link w:val="EALDReview"/>
    <w:rsid w:val="000510BA"/>
  </w:style>
  <w:style w:type="paragraph" w:styleId="BalloonText">
    <w:name w:val="Balloon Text"/>
    <w:basedOn w:val="Normal"/>
    <w:link w:val="BalloonTextChar"/>
    <w:uiPriority w:val="99"/>
    <w:semiHidden/>
    <w:unhideWhenUsed/>
    <w:rsid w:val="00A82032"/>
    <w:pPr>
      <w:spacing w:after="0" w:line="240" w:lineRule="auto"/>
    </w:pPr>
    <w:rPr>
      <w:rFonts w:ascii="Tahoma" w:hAnsi="Tahoma" w:cs="Tahoma"/>
      <w:sz w:val="16"/>
      <w:szCs w:val="16"/>
    </w:rPr>
  </w:style>
  <w:style w:type="character" w:customStyle="1" w:styleId="EALDReview1Char">
    <w:name w:val="EALD Review1 Char"/>
    <w:basedOn w:val="EALDReviewChar"/>
    <w:link w:val="EALDReview1"/>
    <w:rsid w:val="000605B7"/>
  </w:style>
  <w:style w:type="character" w:customStyle="1" w:styleId="BalloonTextChar">
    <w:name w:val="Balloon Text Char"/>
    <w:basedOn w:val="DefaultParagraphFont"/>
    <w:link w:val="BalloonText"/>
    <w:uiPriority w:val="99"/>
    <w:semiHidden/>
    <w:rsid w:val="00A82032"/>
    <w:rPr>
      <w:rFonts w:ascii="Tahoma" w:hAnsi="Tahoma" w:cs="Tahoma"/>
      <w:sz w:val="16"/>
      <w:szCs w:val="16"/>
      <w:lang w:eastAsia="en-US"/>
    </w:rPr>
  </w:style>
  <w:style w:type="paragraph" w:customStyle="1" w:styleId="DefaultParagraphFontParaCharCharCharCharCharCharChar">
    <w:name w:val="Default Paragraph Font Para Char Char Char Char Char Char Char"/>
    <w:basedOn w:val="Normal"/>
    <w:rsid w:val="00895578"/>
    <w:pPr>
      <w:spacing w:after="0" w:line="240" w:lineRule="auto"/>
    </w:pPr>
    <w:rPr>
      <w:rFonts w:ascii="Arial" w:eastAsia="Times New Roman" w:hAnsi="Arial" w:cs="Arial"/>
    </w:rPr>
  </w:style>
  <w:style w:type="character" w:styleId="Strong">
    <w:name w:val="Strong"/>
    <w:basedOn w:val="DefaultParagraphFont"/>
    <w:uiPriority w:val="22"/>
    <w:qFormat/>
    <w:rsid w:val="003E32AF"/>
    <w:rPr>
      <w:b/>
      <w:bCs/>
    </w:rPr>
  </w:style>
  <w:style w:type="paragraph" w:styleId="NoSpacing">
    <w:name w:val="No Spacing"/>
    <w:link w:val="NoSpacingChar"/>
    <w:uiPriority w:val="1"/>
    <w:qFormat/>
    <w:rsid w:val="00E16DFC"/>
    <w:rPr>
      <w:rFonts w:eastAsia="Times New Roman"/>
      <w:sz w:val="22"/>
      <w:szCs w:val="22"/>
      <w:lang w:val="en-US" w:eastAsia="en-US"/>
    </w:rPr>
  </w:style>
  <w:style w:type="character" w:customStyle="1" w:styleId="NoSpacingChar">
    <w:name w:val="No Spacing Char"/>
    <w:basedOn w:val="DefaultParagraphFont"/>
    <w:link w:val="NoSpacing"/>
    <w:uiPriority w:val="1"/>
    <w:rsid w:val="00E16DFC"/>
    <w:rPr>
      <w:rFonts w:eastAsia="Times New Roman"/>
      <w:sz w:val="22"/>
      <w:szCs w:val="22"/>
      <w:lang w:val="en-US" w:eastAsia="en-US" w:bidi="ar-SA"/>
    </w:rPr>
  </w:style>
  <w:style w:type="paragraph" w:customStyle="1" w:styleId="Heading10">
    <w:name w:val="Heading1"/>
    <w:basedOn w:val="EALDReview"/>
    <w:link w:val="Heading1Char0"/>
    <w:rsid w:val="00504B61"/>
  </w:style>
  <w:style w:type="paragraph" w:styleId="Subtitle">
    <w:name w:val="Subtitle"/>
    <w:basedOn w:val="EALDReview"/>
    <w:next w:val="Normal"/>
    <w:link w:val="SubtitleChar"/>
    <w:uiPriority w:val="11"/>
    <w:qFormat/>
    <w:rsid w:val="00504B61"/>
    <w:rPr>
      <w:b w:val="0"/>
    </w:rPr>
  </w:style>
  <w:style w:type="character" w:customStyle="1" w:styleId="Heading1Char0">
    <w:name w:val="Heading1 Char"/>
    <w:basedOn w:val="EALDReviewChar"/>
    <w:link w:val="Heading10"/>
    <w:rsid w:val="00504B61"/>
  </w:style>
  <w:style w:type="character" w:customStyle="1" w:styleId="SubtitleChar">
    <w:name w:val="Subtitle Char"/>
    <w:basedOn w:val="DefaultParagraphFont"/>
    <w:link w:val="Subtitle"/>
    <w:uiPriority w:val="11"/>
    <w:rsid w:val="00504B61"/>
    <w:rPr>
      <w:rFonts w:cs="Calibri"/>
      <w:b/>
      <w:sz w:val="22"/>
      <w:szCs w:val="22"/>
      <w:lang w:eastAsia="en-US"/>
    </w:rPr>
  </w:style>
  <w:style w:type="paragraph" w:styleId="TOC3">
    <w:name w:val="toc 3"/>
    <w:basedOn w:val="Normal"/>
    <w:next w:val="Normal"/>
    <w:autoRedefine/>
    <w:uiPriority w:val="39"/>
    <w:unhideWhenUsed/>
    <w:rsid w:val="00504B61"/>
    <w:pPr>
      <w:spacing w:after="0"/>
      <w:ind w:left="440"/>
    </w:pPr>
    <w:rPr>
      <w:rFonts w:cs="Calibri"/>
      <w:sz w:val="20"/>
      <w:szCs w:val="20"/>
    </w:rPr>
  </w:style>
  <w:style w:type="paragraph" w:styleId="TOC4">
    <w:name w:val="toc 4"/>
    <w:basedOn w:val="Normal"/>
    <w:next w:val="Normal"/>
    <w:autoRedefine/>
    <w:uiPriority w:val="39"/>
    <w:unhideWhenUsed/>
    <w:rsid w:val="00504B61"/>
    <w:pPr>
      <w:spacing w:after="0"/>
      <w:ind w:left="660"/>
    </w:pPr>
    <w:rPr>
      <w:rFonts w:cs="Calibri"/>
      <w:sz w:val="20"/>
      <w:szCs w:val="20"/>
    </w:rPr>
  </w:style>
  <w:style w:type="paragraph" w:styleId="TOC5">
    <w:name w:val="toc 5"/>
    <w:basedOn w:val="Normal"/>
    <w:next w:val="Normal"/>
    <w:autoRedefine/>
    <w:uiPriority w:val="39"/>
    <w:unhideWhenUsed/>
    <w:rsid w:val="00504B61"/>
    <w:pPr>
      <w:spacing w:after="0"/>
      <w:ind w:left="880"/>
    </w:pPr>
    <w:rPr>
      <w:rFonts w:cs="Calibri"/>
      <w:sz w:val="20"/>
      <w:szCs w:val="20"/>
    </w:rPr>
  </w:style>
  <w:style w:type="paragraph" w:styleId="TOC6">
    <w:name w:val="toc 6"/>
    <w:basedOn w:val="Normal"/>
    <w:next w:val="Normal"/>
    <w:autoRedefine/>
    <w:uiPriority w:val="39"/>
    <w:unhideWhenUsed/>
    <w:rsid w:val="00504B61"/>
    <w:pPr>
      <w:spacing w:after="0"/>
      <w:ind w:left="1100"/>
    </w:pPr>
    <w:rPr>
      <w:rFonts w:cs="Calibri"/>
      <w:sz w:val="20"/>
      <w:szCs w:val="20"/>
    </w:rPr>
  </w:style>
  <w:style w:type="paragraph" w:styleId="TOC7">
    <w:name w:val="toc 7"/>
    <w:basedOn w:val="Normal"/>
    <w:next w:val="Normal"/>
    <w:autoRedefine/>
    <w:uiPriority w:val="39"/>
    <w:unhideWhenUsed/>
    <w:rsid w:val="00504B61"/>
    <w:pPr>
      <w:spacing w:after="0"/>
      <w:ind w:left="1320"/>
    </w:pPr>
    <w:rPr>
      <w:rFonts w:cs="Calibri"/>
      <w:sz w:val="20"/>
      <w:szCs w:val="20"/>
    </w:rPr>
  </w:style>
  <w:style w:type="paragraph" w:styleId="TOC8">
    <w:name w:val="toc 8"/>
    <w:basedOn w:val="Normal"/>
    <w:next w:val="Normal"/>
    <w:autoRedefine/>
    <w:uiPriority w:val="39"/>
    <w:unhideWhenUsed/>
    <w:rsid w:val="00504B61"/>
    <w:pPr>
      <w:spacing w:after="0"/>
      <w:ind w:left="1540"/>
    </w:pPr>
    <w:rPr>
      <w:rFonts w:cs="Calibri"/>
      <w:sz w:val="20"/>
      <w:szCs w:val="20"/>
    </w:rPr>
  </w:style>
  <w:style w:type="paragraph" w:styleId="TOC9">
    <w:name w:val="toc 9"/>
    <w:basedOn w:val="Normal"/>
    <w:next w:val="Normal"/>
    <w:autoRedefine/>
    <w:uiPriority w:val="39"/>
    <w:unhideWhenUsed/>
    <w:rsid w:val="00504B61"/>
    <w:pPr>
      <w:spacing w:after="0"/>
      <w:ind w:left="1760"/>
    </w:pPr>
    <w:rPr>
      <w:rFonts w:cs="Calibri"/>
      <w:sz w:val="20"/>
      <w:szCs w:val="20"/>
    </w:rPr>
  </w:style>
  <w:style w:type="character" w:customStyle="1" w:styleId="Heading3Char">
    <w:name w:val="Heading 3 Char"/>
    <w:basedOn w:val="DefaultParagraphFont"/>
    <w:link w:val="Heading3"/>
    <w:uiPriority w:val="9"/>
    <w:semiHidden/>
    <w:rsid w:val="00504B61"/>
    <w:rPr>
      <w:rFonts w:ascii="Cambria" w:eastAsia="Times New Roman" w:hAnsi="Cambria" w:cs="Times New Roman"/>
      <w:b/>
      <w:bCs/>
      <w:sz w:val="26"/>
      <w:szCs w:val="26"/>
      <w:lang w:eastAsia="en-US"/>
    </w:rPr>
  </w:style>
  <w:style w:type="paragraph" w:styleId="DocumentMap">
    <w:name w:val="Document Map"/>
    <w:basedOn w:val="Normal"/>
    <w:link w:val="DocumentMapChar"/>
    <w:uiPriority w:val="99"/>
    <w:semiHidden/>
    <w:unhideWhenUsed/>
    <w:rsid w:val="00A545CB"/>
    <w:rPr>
      <w:rFonts w:ascii="Tahoma" w:hAnsi="Tahoma" w:cs="Tahoma"/>
      <w:sz w:val="16"/>
      <w:szCs w:val="16"/>
    </w:rPr>
  </w:style>
  <w:style w:type="character" w:customStyle="1" w:styleId="DocumentMapChar">
    <w:name w:val="Document Map Char"/>
    <w:basedOn w:val="DefaultParagraphFont"/>
    <w:link w:val="DocumentMap"/>
    <w:uiPriority w:val="99"/>
    <w:semiHidden/>
    <w:rsid w:val="00A545CB"/>
    <w:rPr>
      <w:rFonts w:ascii="Tahoma" w:hAnsi="Tahoma" w:cs="Tahoma"/>
      <w:sz w:val="16"/>
      <w:szCs w:val="16"/>
      <w:lang w:eastAsia="en-US"/>
    </w:rPr>
  </w:style>
  <w:style w:type="paragraph" w:styleId="EndnoteText">
    <w:name w:val="endnote text"/>
    <w:basedOn w:val="Normal"/>
    <w:link w:val="EndnoteTextChar"/>
    <w:uiPriority w:val="99"/>
    <w:semiHidden/>
    <w:unhideWhenUsed/>
    <w:rsid w:val="006059E2"/>
    <w:rPr>
      <w:sz w:val="20"/>
      <w:szCs w:val="20"/>
    </w:rPr>
  </w:style>
  <w:style w:type="character" w:customStyle="1" w:styleId="EndnoteTextChar">
    <w:name w:val="Endnote Text Char"/>
    <w:basedOn w:val="DefaultParagraphFont"/>
    <w:link w:val="EndnoteText"/>
    <w:uiPriority w:val="99"/>
    <w:semiHidden/>
    <w:rsid w:val="006059E2"/>
    <w:rPr>
      <w:lang w:eastAsia="en-US"/>
    </w:rPr>
  </w:style>
  <w:style w:type="character" w:styleId="EndnoteReference">
    <w:name w:val="endnote reference"/>
    <w:basedOn w:val="DefaultParagraphFont"/>
    <w:uiPriority w:val="99"/>
    <w:semiHidden/>
    <w:unhideWhenUsed/>
    <w:rsid w:val="006059E2"/>
    <w:rPr>
      <w:vertAlign w:val="superscript"/>
    </w:rPr>
  </w:style>
  <w:style w:type="character" w:styleId="CommentReference">
    <w:name w:val="annotation reference"/>
    <w:basedOn w:val="DefaultParagraphFont"/>
    <w:uiPriority w:val="99"/>
    <w:semiHidden/>
    <w:unhideWhenUsed/>
    <w:rsid w:val="008A4085"/>
    <w:rPr>
      <w:sz w:val="16"/>
      <w:szCs w:val="16"/>
    </w:rPr>
  </w:style>
  <w:style w:type="paragraph" w:styleId="CommentText">
    <w:name w:val="annotation text"/>
    <w:basedOn w:val="Normal"/>
    <w:link w:val="CommentTextChar"/>
    <w:uiPriority w:val="99"/>
    <w:semiHidden/>
    <w:unhideWhenUsed/>
    <w:rsid w:val="008A4085"/>
    <w:rPr>
      <w:sz w:val="20"/>
      <w:szCs w:val="20"/>
    </w:rPr>
  </w:style>
  <w:style w:type="character" w:customStyle="1" w:styleId="CommentTextChar">
    <w:name w:val="Comment Text Char"/>
    <w:basedOn w:val="DefaultParagraphFont"/>
    <w:link w:val="CommentText"/>
    <w:uiPriority w:val="99"/>
    <w:semiHidden/>
    <w:rsid w:val="008A4085"/>
    <w:rPr>
      <w:lang w:eastAsia="en-US"/>
    </w:rPr>
  </w:style>
  <w:style w:type="paragraph" w:styleId="CommentSubject">
    <w:name w:val="annotation subject"/>
    <w:basedOn w:val="CommentText"/>
    <w:next w:val="CommentText"/>
    <w:link w:val="CommentSubjectChar"/>
    <w:uiPriority w:val="99"/>
    <w:semiHidden/>
    <w:unhideWhenUsed/>
    <w:rsid w:val="008A4085"/>
    <w:rPr>
      <w:b/>
      <w:bCs/>
    </w:rPr>
  </w:style>
  <w:style w:type="character" w:customStyle="1" w:styleId="CommentSubjectChar">
    <w:name w:val="Comment Subject Char"/>
    <w:basedOn w:val="CommentTextChar"/>
    <w:link w:val="CommentSubject"/>
    <w:uiPriority w:val="99"/>
    <w:semiHidden/>
    <w:rsid w:val="008A4085"/>
    <w:rPr>
      <w:b/>
      <w:bCs/>
    </w:rPr>
  </w:style>
</w:styles>
</file>

<file path=word/webSettings.xml><?xml version="1.0" encoding="utf-8"?>
<w:webSettings xmlns:r="http://schemas.openxmlformats.org/officeDocument/2006/relationships" xmlns:w="http://schemas.openxmlformats.org/wordprocessingml/2006/main">
  <w:divs>
    <w:div w:id="79134094">
      <w:bodyDiv w:val="1"/>
      <w:marLeft w:val="0"/>
      <w:marRight w:val="0"/>
      <w:marTop w:val="0"/>
      <w:marBottom w:val="0"/>
      <w:divBdr>
        <w:top w:val="none" w:sz="0" w:space="0" w:color="auto"/>
        <w:left w:val="none" w:sz="0" w:space="0" w:color="auto"/>
        <w:bottom w:val="none" w:sz="0" w:space="0" w:color="auto"/>
        <w:right w:val="none" w:sz="0" w:space="0" w:color="auto"/>
      </w:divBdr>
    </w:div>
    <w:div w:id="147980729">
      <w:bodyDiv w:val="1"/>
      <w:marLeft w:val="0"/>
      <w:marRight w:val="0"/>
      <w:marTop w:val="0"/>
      <w:marBottom w:val="0"/>
      <w:divBdr>
        <w:top w:val="none" w:sz="0" w:space="0" w:color="auto"/>
        <w:left w:val="none" w:sz="0" w:space="0" w:color="auto"/>
        <w:bottom w:val="none" w:sz="0" w:space="0" w:color="auto"/>
        <w:right w:val="none" w:sz="0" w:space="0" w:color="auto"/>
      </w:divBdr>
    </w:div>
    <w:div w:id="251670997">
      <w:bodyDiv w:val="1"/>
      <w:marLeft w:val="0"/>
      <w:marRight w:val="0"/>
      <w:marTop w:val="0"/>
      <w:marBottom w:val="0"/>
      <w:divBdr>
        <w:top w:val="none" w:sz="0" w:space="0" w:color="auto"/>
        <w:left w:val="none" w:sz="0" w:space="0" w:color="auto"/>
        <w:bottom w:val="none" w:sz="0" w:space="0" w:color="auto"/>
        <w:right w:val="none" w:sz="0" w:space="0" w:color="auto"/>
      </w:divBdr>
    </w:div>
    <w:div w:id="522400819">
      <w:bodyDiv w:val="1"/>
      <w:marLeft w:val="0"/>
      <w:marRight w:val="0"/>
      <w:marTop w:val="0"/>
      <w:marBottom w:val="0"/>
      <w:divBdr>
        <w:top w:val="none" w:sz="0" w:space="0" w:color="auto"/>
        <w:left w:val="none" w:sz="0" w:space="0" w:color="auto"/>
        <w:bottom w:val="none" w:sz="0" w:space="0" w:color="auto"/>
        <w:right w:val="none" w:sz="0" w:space="0" w:color="auto"/>
      </w:divBdr>
    </w:div>
    <w:div w:id="663775636">
      <w:bodyDiv w:val="1"/>
      <w:marLeft w:val="0"/>
      <w:marRight w:val="0"/>
      <w:marTop w:val="0"/>
      <w:marBottom w:val="0"/>
      <w:divBdr>
        <w:top w:val="none" w:sz="0" w:space="0" w:color="auto"/>
        <w:left w:val="none" w:sz="0" w:space="0" w:color="auto"/>
        <w:bottom w:val="none" w:sz="0" w:space="0" w:color="auto"/>
        <w:right w:val="none" w:sz="0" w:space="0" w:color="auto"/>
      </w:divBdr>
    </w:div>
    <w:div w:id="758984632">
      <w:bodyDiv w:val="1"/>
      <w:marLeft w:val="0"/>
      <w:marRight w:val="0"/>
      <w:marTop w:val="0"/>
      <w:marBottom w:val="0"/>
      <w:divBdr>
        <w:top w:val="none" w:sz="0" w:space="0" w:color="auto"/>
        <w:left w:val="none" w:sz="0" w:space="0" w:color="auto"/>
        <w:bottom w:val="none" w:sz="0" w:space="0" w:color="auto"/>
        <w:right w:val="none" w:sz="0" w:space="0" w:color="auto"/>
      </w:divBdr>
    </w:div>
    <w:div w:id="80400441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12242567">
          <w:marLeft w:val="0"/>
          <w:marRight w:val="0"/>
          <w:marTop w:val="0"/>
          <w:marBottom w:val="0"/>
          <w:divBdr>
            <w:top w:val="none" w:sz="0" w:space="0" w:color="auto"/>
            <w:left w:val="none" w:sz="0" w:space="0" w:color="auto"/>
            <w:bottom w:val="none" w:sz="0" w:space="0" w:color="auto"/>
            <w:right w:val="none" w:sz="0" w:space="0" w:color="auto"/>
          </w:divBdr>
          <w:divsChild>
            <w:div w:id="1407147561">
              <w:marLeft w:val="0"/>
              <w:marRight w:val="0"/>
              <w:marTop w:val="0"/>
              <w:marBottom w:val="0"/>
              <w:divBdr>
                <w:top w:val="none" w:sz="0" w:space="0" w:color="auto"/>
                <w:left w:val="none" w:sz="0" w:space="0" w:color="auto"/>
                <w:bottom w:val="none" w:sz="0" w:space="0" w:color="auto"/>
                <w:right w:val="none" w:sz="0" w:space="0" w:color="auto"/>
              </w:divBdr>
              <w:divsChild>
                <w:div w:id="21705790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81671010">
      <w:bodyDiv w:val="1"/>
      <w:marLeft w:val="0"/>
      <w:marRight w:val="0"/>
      <w:marTop w:val="0"/>
      <w:marBottom w:val="0"/>
      <w:divBdr>
        <w:top w:val="none" w:sz="0" w:space="0" w:color="auto"/>
        <w:left w:val="none" w:sz="0" w:space="0" w:color="auto"/>
        <w:bottom w:val="none" w:sz="0" w:space="0" w:color="auto"/>
        <w:right w:val="none" w:sz="0" w:space="0" w:color="auto"/>
      </w:divBdr>
    </w:div>
    <w:div w:id="102767707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1683114">
          <w:marLeft w:val="0"/>
          <w:marRight w:val="0"/>
          <w:marTop w:val="0"/>
          <w:marBottom w:val="0"/>
          <w:divBdr>
            <w:top w:val="none" w:sz="0" w:space="0" w:color="auto"/>
            <w:left w:val="none" w:sz="0" w:space="0" w:color="auto"/>
            <w:bottom w:val="none" w:sz="0" w:space="0" w:color="auto"/>
            <w:right w:val="none" w:sz="0" w:space="0" w:color="auto"/>
          </w:divBdr>
          <w:divsChild>
            <w:div w:id="516625289">
              <w:marLeft w:val="0"/>
              <w:marRight w:val="0"/>
              <w:marTop w:val="0"/>
              <w:marBottom w:val="0"/>
              <w:divBdr>
                <w:top w:val="none" w:sz="0" w:space="0" w:color="auto"/>
                <w:left w:val="none" w:sz="0" w:space="0" w:color="auto"/>
                <w:bottom w:val="none" w:sz="0" w:space="0" w:color="auto"/>
                <w:right w:val="none" w:sz="0" w:space="0" w:color="auto"/>
              </w:divBdr>
              <w:divsChild>
                <w:div w:id="41058842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498374728">
      <w:bodyDiv w:val="1"/>
      <w:marLeft w:val="0"/>
      <w:marRight w:val="0"/>
      <w:marTop w:val="0"/>
      <w:marBottom w:val="0"/>
      <w:divBdr>
        <w:top w:val="none" w:sz="0" w:space="0" w:color="auto"/>
        <w:left w:val="none" w:sz="0" w:space="0" w:color="auto"/>
        <w:bottom w:val="none" w:sz="0" w:space="0" w:color="auto"/>
        <w:right w:val="none" w:sz="0" w:space="0" w:color="auto"/>
      </w:divBdr>
    </w:div>
    <w:div w:id="1741291642">
      <w:bodyDiv w:val="1"/>
      <w:marLeft w:val="0"/>
      <w:marRight w:val="0"/>
      <w:marTop w:val="0"/>
      <w:marBottom w:val="0"/>
      <w:divBdr>
        <w:top w:val="none" w:sz="0" w:space="0" w:color="auto"/>
        <w:left w:val="none" w:sz="0" w:space="0" w:color="auto"/>
        <w:bottom w:val="none" w:sz="0" w:space="0" w:color="auto"/>
        <w:right w:val="none" w:sz="0" w:space="0" w:color="auto"/>
      </w:divBdr>
    </w:div>
    <w:div w:id="1854028643">
      <w:bodyDiv w:val="1"/>
      <w:marLeft w:val="0"/>
      <w:marRight w:val="0"/>
      <w:marTop w:val="0"/>
      <w:marBottom w:val="0"/>
      <w:divBdr>
        <w:top w:val="none" w:sz="0" w:space="0" w:color="auto"/>
        <w:left w:val="none" w:sz="0" w:space="0" w:color="auto"/>
        <w:bottom w:val="none" w:sz="0" w:space="0" w:color="auto"/>
        <w:right w:val="none" w:sz="0" w:space="0" w:color="auto"/>
      </w:divBdr>
      <w:divsChild>
        <w:div w:id="1939631241">
          <w:marLeft w:val="180"/>
          <w:marRight w:val="0"/>
          <w:marTop w:val="360"/>
          <w:marBottom w:val="180"/>
          <w:divBdr>
            <w:top w:val="single" w:sz="6" w:space="0" w:color="E4E3E3"/>
            <w:left w:val="single" w:sz="6" w:space="0" w:color="E4E3E3"/>
            <w:bottom w:val="single" w:sz="6" w:space="0" w:color="E4E3E3"/>
            <w:right w:val="single" w:sz="6" w:space="0" w:color="E4E3E3"/>
          </w:divBdr>
        </w:div>
      </w:divsChild>
    </w:div>
    <w:div w:id="1876305237">
      <w:bodyDiv w:val="1"/>
      <w:marLeft w:val="0"/>
      <w:marRight w:val="0"/>
      <w:marTop w:val="0"/>
      <w:marBottom w:val="0"/>
      <w:divBdr>
        <w:top w:val="none" w:sz="0" w:space="0" w:color="auto"/>
        <w:left w:val="none" w:sz="0" w:space="0" w:color="auto"/>
        <w:bottom w:val="none" w:sz="0" w:space="0" w:color="auto"/>
        <w:right w:val="none" w:sz="0" w:space="0" w:color="auto"/>
      </w:divBdr>
      <w:divsChild>
        <w:div w:id="559513301">
          <w:marLeft w:val="0"/>
          <w:marRight w:val="0"/>
          <w:marTop w:val="0"/>
          <w:marBottom w:val="0"/>
          <w:divBdr>
            <w:top w:val="none" w:sz="0" w:space="0" w:color="auto"/>
            <w:left w:val="none" w:sz="0" w:space="0" w:color="auto"/>
            <w:bottom w:val="none" w:sz="0" w:space="0" w:color="auto"/>
            <w:right w:val="none" w:sz="0" w:space="0" w:color="auto"/>
          </w:divBdr>
          <w:divsChild>
            <w:div w:id="1769235534">
              <w:marLeft w:val="0"/>
              <w:marRight w:val="0"/>
              <w:marTop w:val="0"/>
              <w:marBottom w:val="0"/>
              <w:divBdr>
                <w:top w:val="none" w:sz="0" w:space="0" w:color="auto"/>
                <w:left w:val="none" w:sz="0" w:space="0" w:color="auto"/>
                <w:bottom w:val="none" w:sz="0" w:space="0" w:color="auto"/>
                <w:right w:val="none" w:sz="0" w:space="0" w:color="auto"/>
              </w:divBdr>
              <w:divsChild>
                <w:div w:id="1054040924">
                  <w:marLeft w:val="0"/>
                  <w:marRight w:val="0"/>
                  <w:marTop w:val="0"/>
                  <w:marBottom w:val="0"/>
                  <w:divBdr>
                    <w:top w:val="none" w:sz="0" w:space="0" w:color="auto"/>
                    <w:left w:val="none" w:sz="0" w:space="0" w:color="auto"/>
                    <w:bottom w:val="none" w:sz="0" w:space="0" w:color="auto"/>
                    <w:right w:val="none" w:sz="0" w:space="0" w:color="auto"/>
                  </w:divBdr>
                  <w:divsChild>
                    <w:div w:id="1016151256">
                      <w:marLeft w:val="0"/>
                      <w:marRight w:val="0"/>
                      <w:marTop w:val="0"/>
                      <w:marBottom w:val="0"/>
                      <w:divBdr>
                        <w:top w:val="none" w:sz="0" w:space="0" w:color="auto"/>
                        <w:left w:val="none" w:sz="0" w:space="0" w:color="auto"/>
                        <w:bottom w:val="none" w:sz="0" w:space="0" w:color="auto"/>
                        <w:right w:val="none" w:sz="0" w:space="0" w:color="auto"/>
                      </w:divBdr>
                      <w:divsChild>
                        <w:div w:id="660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E0A4-6852-41C1-BE1C-79C46F8F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12264</Words>
  <Characters>69905</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padgham</dc:creator>
  <cp:lastModifiedBy>chris hallett</cp:lastModifiedBy>
  <cp:revision>2</cp:revision>
  <cp:lastPrinted>2012-04-24T06:02:00Z</cp:lastPrinted>
  <dcterms:created xsi:type="dcterms:W3CDTF">2012-06-05T06:22:00Z</dcterms:created>
  <dcterms:modified xsi:type="dcterms:W3CDTF">2012-06-05T06:22:00Z</dcterms:modified>
</cp:coreProperties>
</file>